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3" w:type="dxa"/>
        <w:tblInd w:w="-861" w:type="dxa"/>
        <w:tblCellMar>
          <w:top w:w="148" w:type="dxa"/>
          <w:left w:w="98" w:type="dxa"/>
          <w:bottom w:w="0" w:type="dxa"/>
          <w:right w:w="57" w:type="dxa"/>
        </w:tblCellMar>
        <w:tblLook w:val="04A0" w:firstRow="1" w:lastRow="0" w:firstColumn="1" w:lastColumn="0" w:noHBand="0" w:noVBand="1"/>
      </w:tblPr>
      <w:tblGrid>
        <w:gridCol w:w="4253"/>
        <w:gridCol w:w="6390"/>
      </w:tblGrid>
      <w:tr w:rsidR="0064605B"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Default="0064605B" w:rsidP="006A1F67">
            <w:pPr>
              <w:spacing w:after="0" w:line="259" w:lineRule="auto"/>
              <w:ind w:left="0" w:firstLine="0"/>
              <w:jc w:val="left"/>
            </w:pPr>
            <w:r>
              <w:rPr>
                <w:b/>
                <w:sz w:val="24"/>
              </w:rPr>
              <w:t xml:space="preserve">Bloc de compétences 1 : gérer la relation avec les clients et les fournisseurs de la pme </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sz w:val="28"/>
                <w:szCs w:val="32"/>
              </w:rPr>
            </w:pPr>
            <w:r w:rsidRPr="00301A3A">
              <w:rPr>
                <w:b/>
                <w:bCs/>
                <w:sz w:val="28"/>
                <w:szCs w:val="32"/>
              </w:rPr>
              <w:t xml:space="preserve"> Savoirs associés </w:t>
            </w:r>
          </w:p>
        </w:tc>
        <w:tc>
          <w:tcPr>
            <w:tcW w:w="6390"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rPr>
            </w:pPr>
            <w:r w:rsidRPr="00301A3A">
              <w:rPr>
                <w:b/>
                <w:bCs/>
                <w:sz w:val="24"/>
                <w:szCs w:val="28"/>
              </w:rPr>
              <w:t xml:space="preserve"> Limites des savoirs associés et recommandations pédagogiques </w:t>
            </w:r>
          </w:p>
        </w:tc>
      </w:tr>
      <w:tr w:rsidR="0064605B" w:rsidRPr="00671967"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Pr="00671967" w:rsidRDefault="0064605B" w:rsidP="006A1F67">
            <w:pPr>
              <w:spacing w:after="0" w:line="259" w:lineRule="auto"/>
              <w:ind w:left="0" w:firstLine="0"/>
              <w:jc w:val="center"/>
              <w:rPr>
                <w:b/>
                <w:bCs/>
                <w:color w:val="00B0F0"/>
                <w:sz w:val="24"/>
                <w:szCs w:val="28"/>
              </w:rPr>
            </w:pPr>
            <w:r w:rsidRPr="00671967">
              <w:rPr>
                <w:b/>
                <w:color w:val="00B0F0"/>
                <w:sz w:val="28"/>
                <w:szCs w:val="32"/>
              </w:rPr>
              <w:t>Savoirs 1.1. Recherche de clientèle et contact</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4605B" w:rsidRPr="00671967" w:rsidRDefault="0064605B" w:rsidP="006A1F67">
            <w:pPr>
              <w:spacing w:after="0" w:line="259" w:lineRule="auto"/>
              <w:ind w:left="0" w:firstLine="0"/>
              <w:jc w:val="left"/>
              <w:rPr>
                <w:b/>
                <w:bCs/>
                <w:sz w:val="24"/>
                <w:szCs w:val="28"/>
              </w:rPr>
            </w:pPr>
            <w:r w:rsidRPr="00671967">
              <w:rPr>
                <w:b/>
                <w:bCs/>
                <w:color w:val="00B0F0"/>
                <w:sz w:val="24"/>
                <w:szCs w:val="28"/>
              </w:rPr>
              <w:t xml:space="preserve">S1.1.1 L’identification de la clientèle </w:t>
            </w:r>
          </w:p>
          <w:p w:rsidR="0064605B" w:rsidRPr="00671967" w:rsidRDefault="0064605B" w:rsidP="006A1F67">
            <w:pPr>
              <w:numPr>
                <w:ilvl w:val="0"/>
                <w:numId w:val="1"/>
              </w:numPr>
              <w:spacing w:after="0" w:line="259" w:lineRule="auto"/>
              <w:ind w:hanging="106"/>
              <w:jc w:val="left"/>
              <w:rPr>
                <w:sz w:val="24"/>
                <w:szCs w:val="28"/>
              </w:rPr>
            </w:pPr>
            <w:r w:rsidRPr="00671967">
              <w:rPr>
                <w:sz w:val="24"/>
                <w:szCs w:val="28"/>
              </w:rPr>
              <w:t xml:space="preserve">Typologie de clientèle </w:t>
            </w:r>
          </w:p>
          <w:p w:rsidR="0064605B" w:rsidRPr="00671967" w:rsidRDefault="0064605B" w:rsidP="006A1F67">
            <w:pPr>
              <w:numPr>
                <w:ilvl w:val="0"/>
                <w:numId w:val="1"/>
              </w:numPr>
              <w:spacing w:after="0" w:line="259" w:lineRule="auto"/>
              <w:ind w:hanging="106"/>
              <w:jc w:val="left"/>
              <w:rPr>
                <w:sz w:val="24"/>
                <w:szCs w:val="28"/>
              </w:rPr>
            </w:pPr>
            <w:r w:rsidRPr="00671967">
              <w:rPr>
                <w:sz w:val="24"/>
                <w:szCs w:val="28"/>
              </w:rPr>
              <w:t xml:space="preserve">Segmentation </w:t>
            </w:r>
          </w:p>
          <w:p w:rsidR="0064605B" w:rsidRPr="00671967" w:rsidRDefault="0064605B" w:rsidP="006A1F67">
            <w:pPr>
              <w:numPr>
                <w:ilvl w:val="0"/>
                <w:numId w:val="1"/>
              </w:numPr>
              <w:spacing w:after="0" w:line="259" w:lineRule="auto"/>
              <w:ind w:hanging="106"/>
              <w:jc w:val="left"/>
              <w:rPr>
                <w:sz w:val="24"/>
                <w:szCs w:val="28"/>
              </w:rPr>
            </w:pPr>
            <w:r w:rsidRPr="00671967">
              <w:rPr>
                <w:sz w:val="24"/>
                <w:szCs w:val="28"/>
              </w:rPr>
              <w:t xml:space="preserve">Variables explicatives du </w:t>
            </w:r>
          </w:p>
          <w:p w:rsidR="0064605B" w:rsidRPr="00671967" w:rsidRDefault="0064605B" w:rsidP="006A1F67">
            <w:pPr>
              <w:spacing w:after="0" w:line="259" w:lineRule="auto"/>
              <w:ind w:left="0" w:firstLine="0"/>
              <w:jc w:val="left"/>
              <w:rPr>
                <w:b/>
                <w:bCs/>
                <w:sz w:val="24"/>
                <w:szCs w:val="28"/>
              </w:rPr>
            </w:pPr>
            <w:r w:rsidRPr="00671967">
              <w:rPr>
                <w:sz w:val="24"/>
                <w:szCs w:val="28"/>
              </w:rPr>
              <w:t xml:space="preserve">comportement d'achat et le processus d’achat  </w:t>
            </w:r>
          </w:p>
        </w:tc>
        <w:tc>
          <w:tcPr>
            <w:tcW w:w="6390" w:type="dxa"/>
            <w:tcBorders>
              <w:top w:val="single" w:sz="8" w:space="0" w:color="000000"/>
              <w:left w:val="single" w:sz="8" w:space="0" w:color="000000"/>
              <w:bottom w:val="single" w:sz="8" w:space="0" w:color="000000"/>
              <w:right w:val="single" w:sz="8" w:space="0" w:color="000000"/>
            </w:tcBorders>
            <w:vAlign w:val="center"/>
          </w:tcPr>
          <w:p w:rsidR="0064605B" w:rsidRDefault="0064605B" w:rsidP="006A1F67">
            <w:pPr>
              <w:spacing w:after="0" w:line="241" w:lineRule="auto"/>
              <w:ind w:left="0" w:firstLine="0"/>
              <w:jc w:val="left"/>
            </w:pPr>
            <w:r>
              <w:rPr>
                <w:sz w:val="20"/>
              </w:rPr>
              <w:t xml:space="preserve">Les notions mercatiques sont abordées en référence à la stratégie commerciale de la PME. Il s’agit de montrer que la mercatique est un processus de décision et d’action. Elles ne sont pas abordées sous un angle technique ou spécialisé, mais à partir de situations. </w:t>
            </w:r>
          </w:p>
          <w:p w:rsidR="0064605B" w:rsidRPr="00301A3A" w:rsidRDefault="0064605B" w:rsidP="0032179F">
            <w:pPr>
              <w:spacing w:after="0" w:line="241" w:lineRule="auto"/>
              <w:ind w:left="0" w:right="46" w:firstLine="0"/>
              <w:rPr>
                <w:b/>
                <w:bCs/>
                <w:sz w:val="24"/>
                <w:szCs w:val="28"/>
              </w:rPr>
            </w:pPr>
            <w:r>
              <w:rPr>
                <w:sz w:val="20"/>
              </w:rPr>
              <w:t xml:space="preserve">L’étude de la segmentation permet d’identifier les groupes homogènes d’individus. La mobilisation des principaux critères de la segmentation doit conduire à la personnalisation de l’offre de la PME. Le comportement d’achat des consommateurs est abordé à partir des facteurs personnels (besoins, motivations, attentes), des influences sociales (culture, statut) et de la nature du produit L’étude des relations interentreprises et de </w:t>
            </w:r>
            <w:bookmarkStart w:id="0" w:name="_GoBack"/>
            <w:bookmarkEnd w:id="0"/>
            <w:r>
              <w:rPr>
                <w:sz w:val="20"/>
              </w:rPr>
              <w:t xml:space="preserve">l’entreprise vers le consommateur final souligne l’importance de l’adaptation de l’offre à la typologie de la clientèle </w:t>
            </w:r>
          </w:p>
        </w:tc>
      </w:tr>
      <w:tr w:rsidR="0064605B"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4605B" w:rsidRPr="00671967" w:rsidRDefault="0064605B" w:rsidP="006A1F67">
            <w:pPr>
              <w:tabs>
                <w:tab w:val="center" w:pos="47"/>
                <w:tab w:val="center" w:pos="551"/>
                <w:tab w:val="center" w:pos="1099"/>
                <w:tab w:val="center" w:pos="1937"/>
                <w:tab w:val="center" w:pos="2770"/>
                <w:tab w:val="center" w:pos="3181"/>
              </w:tabs>
              <w:spacing w:after="0" w:line="259" w:lineRule="auto"/>
              <w:ind w:left="0" w:firstLine="0"/>
              <w:jc w:val="left"/>
              <w:rPr>
                <w:color w:val="00B0F0"/>
                <w:sz w:val="24"/>
                <w:szCs w:val="28"/>
              </w:rPr>
            </w:pPr>
            <w:r w:rsidRPr="00671967">
              <w:rPr>
                <w:b/>
                <w:color w:val="00B0F0"/>
                <w:sz w:val="24"/>
                <w:szCs w:val="28"/>
              </w:rPr>
              <w:t xml:space="preserve">S 1.1.2 </w:t>
            </w:r>
            <w:r w:rsidRPr="00671967">
              <w:rPr>
                <w:b/>
                <w:color w:val="00B0F0"/>
                <w:sz w:val="24"/>
                <w:szCs w:val="28"/>
              </w:rPr>
              <w:tab/>
              <w:t xml:space="preserve">La prospection et la qualification des prospects </w:t>
            </w:r>
          </w:p>
          <w:p w:rsidR="0064605B" w:rsidRPr="00671967" w:rsidRDefault="0064605B" w:rsidP="006A1F67">
            <w:pPr>
              <w:numPr>
                <w:ilvl w:val="0"/>
                <w:numId w:val="2"/>
              </w:numPr>
              <w:spacing w:after="0" w:line="242" w:lineRule="auto"/>
              <w:ind w:firstLine="0"/>
              <w:jc w:val="left"/>
              <w:rPr>
                <w:sz w:val="24"/>
                <w:szCs w:val="28"/>
              </w:rPr>
            </w:pPr>
            <w:r w:rsidRPr="00671967">
              <w:rPr>
                <w:sz w:val="24"/>
                <w:szCs w:val="28"/>
              </w:rPr>
              <w:t xml:space="preserve">Sources principales d’information sur la clientèle </w:t>
            </w:r>
          </w:p>
          <w:p w:rsidR="0064605B" w:rsidRPr="00671967" w:rsidRDefault="0064605B" w:rsidP="006A1F67">
            <w:pPr>
              <w:numPr>
                <w:ilvl w:val="0"/>
                <w:numId w:val="2"/>
              </w:numPr>
              <w:spacing w:after="0" w:line="240" w:lineRule="auto"/>
              <w:ind w:firstLine="0"/>
              <w:jc w:val="left"/>
              <w:rPr>
                <w:sz w:val="24"/>
                <w:szCs w:val="28"/>
              </w:rPr>
            </w:pPr>
            <w:r w:rsidRPr="00671967">
              <w:rPr>
                <w:sz w:val="24"/>
                <w:szCs w:val="28"/>
              </w:rPr>
              <w:t xml:space="preserve">Types d’information de la clientèle - Notions de suspects, prospects, clients actuels, anciens clients. </w:t>
            </w:r>
          </w:p>
          <w:p w:rsidR="0064605B" w:rsidRPr="00671967" w:rsidRDefault="0064605B" w:rsidP="006A1F67">
            <w:pPr>
              <w:numPr>
                <w:ilvl w:val="0"/>
                <w:numId w:val="2"/>
              </w:numPr>
              <w:spacing w:after="0" w:line="242" w:lineRule="auto"/>
              <w:ind w:firstLine="0"/>
              <w:jc w:val="left"/>
              <w:rPr>
                <w:sz w:val="24"/>
                <w:szCs w:val="28"/>
              </w:rPr>
            </w:pPr>
            <w:r w:rsidRPr="00671967">
              <w:rPr>
                <w:sz w:val="24"/>
                <w:szCs w:val="28"/>
              </w:rPr>
              <w:t xml:space="preserve">Prospection : cible, plan, méthodes, outils d’évaluation </w:t>
            </w:r>
          </w:p>
          <w:p w:rsidR="0064605B" w:rsidRPr="00671967" w:rsidRDefault="0064605B" w:rsidP="006A1F67">
            <w:pPr>
              <w:spacing w:after="0" w:line="259" w:lineRule="auto"/>
              <w:ind w:left="0" w:firstLine="0"/>
              <w:jc w:val="left"/>
              <w:rPr>
                <w:sz w:val="24"/>
                <w:szCs w:val="28"/>
              </w:rPr>
            </w:pPr>
            <w:r w:rsidRPr="00671967">
              <w:rPr>
                <w:sz w:val="24"/>
                <w:szCs w:val="28"/>
              </w:rPr>
              <w:t xml:space="preserve"> </w:t>
            </w:r>
          </w:p>
          <w:p w:rsidR="0064605B" w:rsidRPr="00671967" w:rsidRDefault="0064605B" w:rsidP="006A1F67">
            <w:pPr>
              <w:spacing w:after="0" w:line="242" w:lineRule="auto"/>
              <w:ind w:left="0" w:firstLine="0"/>
              <w:jc w:val="left"/>
              <w:rPr>
                <w:b/>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64605B" w:rsidRDefault="0064605B" w:rsidP="006A1F67">
            <w:pPr>
              <w:spacing w:after="0" w:line="239" w:lineRule="auto"/>
              <w:ind w:left="0" w:right="46" w:firstLine="0"/>
            </w:pPr>
            <w:r>
              <w:rPr>
                <w:sz w:val="20"/>
              </w:rPr>
              <w:t>Les outils étudiés visent l’aide à la prospection (plan de prospection, fiche prospect ou client, suivi de la prospection), la communication (lettre, courriel, prospectus, plaquette, catalogue,</w:t>
            </w:r>
            <w:r>
              <w:rPr>
                <w:sz w:val="23"/>
              </w:rPr>
              <w:t xml:space="preserve"> </w:t>
            </w:r>
            <w:r>
              <w:rPr>
                <w:sz w:val="20"/>
              </w:rPr>
              <w:t xml:space="preserve">guide d’entretien téléphonique, fiche-produit) et la mesure de la performance. </w:t>
            </w:r>
          </w:p>
          <w:p w:rsidR="0064605B" w:rsidRDefault="0064605B" w:rsidP="006A1F67">
            <w:pPr>
              <w:spacing w:after="0" w:line="241" w:lineRule="auto"/>
              <w:ind w:left="0" w:firstLine="0"/>
              <w:jc w:val="left"/>
              <w:rPr>
                <w:sz w:val="20"/>
              </w:rPr>
            </w:pPr>
          </w:p>
        </w:tc>
      </w:tr>
      <w:tr w:rsidR="0064605B"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4605B" w:rsidRPr="00671967" w:rsidRDefault="0064605B" w:rsidP="006A1F67">
            <w:pPr>
              <w:spacing w:after="0" w:line="259" w:lineRule="auto"/>
              <w:ind w:left="0" w:firstLine="0"/>
              <w:jc w:val="left"/>
              <w:rPr>
                <w:color w:val="00B0F0"/>
                <w:sz w:val="24"/>
                <w:szCs w:val="28"/>
              </w:rPr>
            </w:pPr>
            <w:r w:rsidRPr="00671967">
              <w:rPr>
                <w:b/>
                <w:color w:val="00B0F0"/>
                <w:sz w:val="24"/>
                <w:szCs w:val="28"/>
              </w:rPr>
              <w:t xml:space="preserve">S 1.1.3 Les appels d’offres </w:t>
            </w:r>
          </w:p>
          <w:p w:rsidR="0064605B" w:rsidRPr="00671967" w:rsidRDefault="0064605B" w:rsidP="006A1F67">
            <w:pPr>
              <w:numPr>
                <w:ilvl w:val="0"/>
                <w:numId w:val="3"/>
              </w:numPr>
              <w:spacing w:after="0" w:line="259" w:lineRule="auto"/>
              <w:ind w:right="341" w:firstLine="0"/>
              <w:jc w:val="left"/>
              <w:rPr>
                <w:sz w:val="24"/>
                <w:szCs w:val="28"/>
              </w:rPr>
            </w:pPr>
            <w:r w:rsidRPr="00671967">
              <w:rPr>
                <w:sz w:val="24"/>
                <w:szCs w:val="28"/>
              </w:rPr>
              <w:t xml:space="preserve">Marché public </w:t>
            </w:r>
          </w:p>
          <w:p w:rsidR="0064605B" w:rsidRPr="00671967" w:rsidRDefault="0064605B" w:rsidP="006A1F67">
            <w:pPr>
              <w:numPr>
                <w:ilvl w:val="0"/>
                <w:numId w:val="3"/>
              </w:numPr>
              <w:spacing w:after="0" w:line="259" w:lineRule="auto"/>
              <w:ind w:right="341" w:firstLine="0"/>
              <w:jc w:val="left"/>
              <w:rPr>
                <w:sz w:val="24"/>
                <w:szCs w:val="28"/>
              </w:rPr>
            </w:pPr>
            <w:r w:rsidRPr="00671967">
              <w:rPr>
                <w:sz w:val="24"/>
                <w:szCs w:val="28"/>
              </w:rPr>
              <w:t>Appel d’offres public : types de procédures, modalités.</w:t>
            </w:r>
          </w:p>
          <w:p w:rsidR="0064605B" w:rsidRPr="00671967" w:rsidRDefault="0064605B" w:rsidP="006A1F67">
            <w:pPr>
              <w:spacing w:after="0" w:line="242" w:lineRule="auto"/>
              <w:ind w:left="0" w:firstLine="0"/>
              <w:jc w:val="left"/>
              <w:rPr>
                <w:b/>
                <w:sz w:val="24"/>
                <w:szCs w:val="28"/>
              </w:rPr>
            </w:pPr>
            <w:r w:rsidRPr="00671967">
              <w:rPr>
                <w:sz w:val="24"/>
                <w:szCs w:val="28"/>
              </w:rPr>
              <w:t xml:space="preserve"> Appel d’offres privé</w:t>
            </w:r>
          </w:p>
        </w:tc>
        <w:tc>
          <w:tcPr>
            <w:tcW w:w="6390" w:type="dxa"/>
            <w:tcBorders>
              <w:top w:val="single" w:sz="8" w:space="0" w:color="000000"/>
              <w:left w:val="single" w:sz="8" w:space="0" w:color="000000"/>
              <w:bottom w:val="single" w:sz="8" w:space="0" w:color="000000"/>
              <w:right w:val="single" w:sz="8" w:space="0" w:color="000000"/>
            </w:tcBorders>
            <w:vAlign w:val="center"/>
          </w:tcPr>
          <w:p w:rsidR="00AF1575" w:rsidRDefault="0064605B" w:rsidP="006A1F67">
            <w:pPr>
              <w:spacing w:after="0" w:line="241" w:lineRule="auto"/>
              <w:ind w:left="0" w:firstLine="0"/>
              <w:jc w:val="left"/>
              <w:rPr>
                <w:sz w:val="20"/>
              </w:rPr>
            </w:pPr>
            <w:r>
              <w:rPr>
                <w:sz w:val="20"/>
              </w:rPr>
              <w:t xml:space="preserve">Il est nécessaire d’amener les étudiants à </w:t>
            </w:r>
            <w:r w:rsidR="00AF1575">
              <w:rPr>
                <w:sz w:val="20"/>
              </w:rPr>
              <w:t>repérer</w:t>
            </w:r>
            <w:r>
              <w:rPr>
                <w:sz w:val="20"/>
              </w:rPr>
              <w:t xml:space="preserve"> les différents types de procédures de marché public. La qualité particulière des contractants de l’entreprise (personne publique) appelle l’application de règles spécifiques se rattachant au droit public. La réponse à un appel d’offres public obéit à une procédure formalisée (à travers les documents de consultation) dont les caractéristiques doivent être repérées, les étapes observées et les conditions respectées au risque de rendre l’entreprise non éligible pour de simples raisons de formalisme. L’étude se limite à une situation professionnelle concernant un appel d’offres ouvert ou une procédure adaptée, à la recherche de</w:t>
            </w:r>
            <w:r w:rsidR="00AF1575">
              <w:rPr>
                <w:sz w:val="20"/>
              </w:rPr>
              <w:t xml:space="preserve">s annonces de marché public et </w:t>
            </w:r>
            <w:r>
              <w:rPr>
                <w:sz w:val="20"/>
              </w:rPr>
              <w:t>à la mise en place d’une veille sur les annonces. Les seuils de publicité sont à aborder.</w:t>
            </w:r>
          </w:p>
          <w:p w:rsidR="00AF1575" w:rsidRDefault="00AF1575" w:rsidP="006A1F67">
            <w:pPr>
              <w:spacing w:after="0" w:line="241" w:lineRule="auto"/>
              <w:ind w:left="0" w:firstLine="0"/>
              <w:jc w:val="left"/>
              <w:rPr>
                <w:sz w:val="20"/>
              </w:rPr>
            </w:pPr>
          </w:p>
          <w:p w:rsidR="0064605B" w:rsidRPr="00AF1575" w:rsidRDefault="0064605B" w:rsidP="006A1F67">
            <w:pPr>
              <w:spacing w:after="0" w:line="241" w:lineRule="auto"/>
              <w:ind w:left="0" w:firstLine="0"/>
              <w:jc w:val="left"/>
              <w:rPr>
                <w:b/>
                <w:bCs/>
                <w:sz w:val="20"/>
              </w:rPr>
            </w:pPr>
            <w:r w:rsidRPr="00AF1575">
              <w:rPr>
                <w:b/>
                <w:bCs/>
                <w:sz w:val="24"/>
                <w:szCs w:val="28"/>
              </w:rPr>
              <w:t xml:space="preserve"> Ce savoir peut-être travaillé dans le cadre des heures de «</w:t>
            </w:r>
            <w:r w:rsidRPr="00AF1575">
              <w:rPr>
                <w:rFonts w:ascii="Arial" w:eastAsia="Arial" w:hAnsi="Arial" w:cs="Arial"/>
                <w:b/>
                <w:bCs/>
                <w:sz w:val="24"/>
                <w:szCs w:val="28"/>
              </w:rPr>
              <w:t xml:space="preserve"> </w:t>
            </w:r>
            <w:r w:rsidRPr="00AF1575">
              <w:rPr>
                <w:b/>
                <w:bCs/>
                <w:sz w:val="24"/>
                <w:szCs w:val="28"/>
              </w:rPr>
              <w:t>culture économique juridique et managériale appliquée</w:t>
            </w:r>
            <w:r w:rsidRPr="00AF1575">
              <w:rPr>
                <w:rFonts w:ascii="Arial" w:eastAsia="Arial" w:hAnsi="Arial" w:cs="Arial"/>
                <w:b/>
                <w:bCs/>
                <w:sz w:val="24"/>
                <w:szCs w:val="28"/>
              </w:rPr>
              <w:t xml:space="preserve"> </w:t>
            </w:r>
            <w:r w:rsidRPr="00AF1575">
              <w:rPr>
                <w:b/>
                <w:bCs/>
                <w:sz w:val="24"/>
                <w:szCs w:val="28"/>
              </w:rPr>
              <w:t>au BTS «</w:t>
            </w:r>
            <w:r w:rsidRPr="00AF1575">
              <w:rPr>
                <w:rFonts w:ascii="Arial" w:eastAsia="Arial" w:hAnsi="Arial" w:cs="Arial"/>
                <w:b/>
                <w:bCs/>
                <w:sz w:val="24"/>
                <w:szCs w:val="28"/>
              </w:rPr>
              <w:t xml:space="preserve"> </w:t>
            </w:r>
            <w:r w:rsidRPr="00AF1575">
              <w:rPr>
                <w:b/>
                <w:bCs/>
                <w:sz w:val="24"/>
                <w:szCs w:val="28"/>
              </w:rPr>
              <w:t>gestion de la PME », notamment afin d’aborder les aspects juridiques.</w:t>
            </w:r>
          </w:p>
        </w:tc>
      </w:tr>
    </w:tbl>
    <w:p w:rsidR="00442A12" w:rsidRDefault="00442A12"/>
    <w:sectPr w:rsidR="0044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2723F"/>
    <w:multiLevelType w:val="hybridMultilevel"/>
    <w:tmpl w:val="35F8BA6E"/>
    <w:lvl w:ilvl="0" w:tplc="83D2A27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6B65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E4D2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3ECE9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ACC8F2">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4864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2C25A">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4CD3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0390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F9A2A89"/>
    <w:multiLevelType w:val="hybridMultilevel"/>
    <w:tmpl w:val="0EBEEF9E"/>
    <w:lvl w:ilvl="0" w:tplc="14BCC75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32E39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36396E">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6E11C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04486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C8426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C4780">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D02C4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400A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FEA1582"/>
    <w:multiLevelType w:val="hybridMultilevel"/>
    <w:tmpl w:val="BD4470FE"/>
    <w:lvl w:ilvl="0" w:tplc="5816BFC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484C4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8A0F82">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473CC">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F8DC10">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D00AF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CF60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CF12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05D02">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5B"/>
    <w:rsid w:val="001F3B14"/>
    <w:rsid w:val="0032179F"/>
    <w:rsid w:val="00442A12"/>
    <w:rsid w:val="0064605B"/>
    <w:rsid w:val="00AF15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227E"/>
  <w15:chartTrackingRefBased/>
  <w15:docId w15:val="{9CFF9F68-82EA-4193-8E86-10CFBE39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5B"/>
    <w:pPr>
      <w:spacing w:after="5" w:line="269" w:lineRule="auto"/>
      <w:ind w:left="10" w:hanging="10"/>
      <w:jc w:val="both"/>
    </w:pPr>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64605B"/>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2430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4</cp:revision>
  <dcterms:created xsi:type="dcterms:W3CDTF">2021-02-10T18:19:00Z</dcterms:created>
  <dcterms:modified xsi:type="dcterms:W3CDTF">2021-02-10T18:21:00Z</dcterms:modified>
</cp:coreProperties>
</file>