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3" w:type="dxa"/>
        <w:tblInd w:w="-861" w:type="dxa"/>
        <w:tblCellMar>
          <w:top w:w="148" w:type="dxa"/>
          <w:left w:w="98" w:type="dxa"/>
          <w:bottom w:w="0" w:type="dxa"/>
          <w:right w:w="57" w:type="dxa"/>
        </w:tblCellMar>
        <w:tblLook w:val="04A0" w:firstRow="1" w:lastRow="0" w:firstColumn="1" w:lastColumn="0" w:noHBand="0" w:noVBand="1"/>
      </w:tblPr>
      <w:tblGrid>
        <w:gridCol w:w="4253"/>
        <w:gridCol w:w="6390"/>
      </w:tblGrid>
      <w:tr w:rsidR="00270A48"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270A48" w:rsidRDefault="00270A48" w:rsidP="006A1F67">
            <w:pPr>
              <w:spacing w:after="0" w:line="259" w:lineRule="auto"/>
              <w:ind w:left="0" w:firstLine="0"/>
              <w:jc w:val="left"/>
            </w:pPr>
            <w:r>
              <w:rPr>
                <w:b/>
                <w:sz w:val="24"/>
              </w:rPr>
              <w:t xml:space="preserve">Bloc de compétences 1 : gérer la relation avec les clients et les fournisseurs de la pme </w:t>
            </w:r>
          </w:p>
        </w:tc>
      </w:tr>
      <w:tr w:rsidR="00270A48"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70A48" w:rsidRPr="00301A3A" w:rsidRDefault="00270A48" w:rsidP="006A1F67">
            <w:pPr>
              <w:spacing w:after="0" w:line="259" w:lineRule="auto"/>
              <w:ind w:left="0" w:firstLine="0"/>
              <w:jc w:val="left"/>
              <w:rPr>
                <w:b/>
                <w:bCs/>
                <w:sz w:val="28"/>
                <w:szCs w:val="32"/>
              </w:rPr>
            </w:pPr>
            <w:r w:rsidRPr="00301A3A">
              <w:rPr>
                <w:b/>
                <w:bCs/>
                <w:sz w:val="28"/>
                <w:szCs w:val="32"/>
              </w:rPr>
              <w:t xml:space="preserve"> Savoirs associés </w:t>
            </w:r>
          </w:p>
        </w:tc>
        <w:tc>
          <w:tcPr>
            <w:tcW w:w="6390" w:type="dxa"/>
            <w:tcBorders>
              <w:top w:val="single" w:sz="8" w:space="0" w:color="000000"/>
              <w:left w:val="single" w:sz="8" w:space="0" w:color="000000"/>
              <w:bottom w:val="single" w:sz="8" w:space="0" w:color="000000"/>
              <w:right w:val="single" w:sz="8" w:space="0" w:color="000000"/>
            </w:tcBorders>
            <w:vAlign w:val="center"/>
          </w:tcPr>
          <w:p w:rsidR="00270A48" w:rsidRPr="00301A3A" w:rsidRDefault="00270A48" w:rsidP="006A1F67">
            <w:pPr>
              <w:spacing w:after="0" w:line="259" w:lineRule="auto"/>
              <w:ind w:left="0" w:firstLine="0"/>
              <w:jc w:val="left"/>
              <w:rPr>
                <w:b/>
                <w:bCs/>
              </w:rPr>
            </w:pPr>
            <w:r w:rsidRPr="00301A3A">
              <w:rPr>
                <w:b/>
                <w:bCs/>
                <w:sz w:val="24"/>
                <w:szCs w:val="28"/>
              </w:rPr>
              <w:t xml:space="preserve"> Limites des savoirs associés et recommandations pédagogiques </w:t>
            </w:r>
          </w:p>
        </w:tc>
      </w:tr>
      <w:tr w:rsidR="00270A48" w:rsidTr="006A1F67">
        <w:trPr>
          <w:trHeight w:val="526"/>
        </w:trPr>
        <w:tc>
          <w:tcPr>
            <w:tcW w:w="10643" w:type="dxa"/>
            <w:gridSpan w:val="2"/>
            <w:tcBorders>
              <w:top w:val="single" w:sz="8" w:space="0" w:color="000000"/>
              <w:left w:val="single" w:sz="8" w:space="0" w:color="000000"/>
              <w:bottom w:val="single" w:sz="8" w:space="0" w:color="000000"/>
              <w:right w:val="single" w:sz="8" w:space="0" w:color="000000"/>
            </w:tcBorders>
            <w:vAlign w:val="center"/>
          </w:tcPr>
          <w:p w:rsidR="00270A48" w:rsidRPr="00671967" w:rsidRDefault="00270A48" w:rsidP="006A1F67">
            <w:pPr>
              <w:spacing w:after="0" w:line="259" w:lineRule="auto"/>
              <w:ind w:left="0" w:firstLine="0"/>
              <w:jc w:val="center"/>
              <w:rPr>
                <w:b/>
                <w:bCs/>
                <w:color w:val="00B0F0"/>
                <w:sz w:val="24"/>
                <w:szCs w:val="28"/>
              </w:rPr>
            </w:pPr>
            <w:r>
              <w:rPr>
                <w:b/>
                <w:color w:val="00B0F0"/>
                <w:sz w:val="28"/>
                <w:szCs w:val="32"/>
              </w:rPr>
              <w:t xml:space="preserve">Savoirs </w:t>
            </w:r>
            <w:r w:rsidRPr="00D05958">
              <w:rPr>
                <w:b/>
                <w:color w:val="00B0F0"/>
                <w:sz w:val="28"/>
                <w:szCs w:val="32"/>
              </w:rPr>
              <w:t>1.4. Recherche et choix des fournisseurs de la PME</w:t>
            </w:r>
          </w:p>
        </w:tc>
      </w:tr>
      <w:tr w:rsidR="00270A48"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70A48" w:rsidRPr="00671967" w:rsidRDefault="00270A48" w:rsidP="006A1F67">
            <w:pPr>
              <w:spacing w:after="0" w:line="259" w:lineRule="auto"/>
              <w:ind w:left="0" w:firstLine="0"/>
              <w:jc w:val="left"/>
              <w:rPr>
                <w:b/>
                <w:bCs/>
                <w:sz w:val="24"/>
                <w:szCs w:val="28"/>
              </w:rPr>
            </w:pPr>
            <w:r w:rsidRPr="00D05958">
              <w:rPr>
                <w:b/>
                <w:color w:val="00B0F0"/>
                <w:sz w:val="24"/>
                <w:szCs w:val="28"/>
              </w:rPr>
              <w:t>S 1.4.1. Typologie des achats</w:t>
            </w:r>
            <w:r>
              <w:rPr>
                <w:b/>
                <w:color w:val="00B0F0"/>
                <w:sz w:val="24"/>
                <w:szCs w:val="28"/>
              </w:rPr>
              <w:t xml:space="preserve"> </w:t>
            </w:r>
            <w:r w:rsidRPr="00D05958">
              <w:rPr>
                <w:b/>
                <w:color w:val="00B0F0"/>
                <w:sz w:val="24"/>
                <w:szCs w:val="28"/>
              </w:rPr>
              <w:t xml:space="preserve">et investissements </w:t>
            </w:r>
          </w:p>
        </w:tc>
        <w:tc>
          <w:tcPr>
            <w:tcW w:w="6390" w:type="dxa"/>
            <w:tcBorders>
              <w:top w:val="single" w:sz="8" w:space="0" w:color="000000"/>
              <w:left w:val="single" w:sz="8" w:space="0" w:color="000000"/>
              <w:bottom w:val="single" w:sz="8" w:space="0" w:color="000000"/>
              <w:right w:val="single" w:sz="8" w:space="0" w:color="000000"/>
            </w:tcBorders>
            <w:vAlign w:val="center"/>
          </w:tcPr>
          <w:p w:rsidR="00270A48" w:rsidRDefault="00270A48" w:rsidP="006A1F67">
            <w:pPr>
              <w:spacing w:after="0" w:line="241" w:lineRule="auto"/>
              <w:ind w:left="0" w:right="47" w:firstLine="0"/>
            </w:pPr>
            <w:r>
              <w:rPr>
                <w:sz w:val="20"/>
              </w:rPr>
              <w:t xml:space="preserve">La typologie des achats permet d’établir une distinction entre les différents biens et services et de mettre en évidence les spécificités de l’investissement. Les critères de typologie retenus doivent permettre de repérer et de distinguer les différents types d’achats en fonction de leur nature et de leur rôle dans la performance de l’entreprise. Les incidences prennent également en compte les aspects comptables et fiscaux. </w:t>
            </w:r>
          </w:p>
          <w:p w:rsidR="00270A48" w:rsidRPr="00301A3A" w:rsidRDefault="00270A48" w:rsidP="006A1F67">
            <w:pPr>
              <w:spacing w:after="0" w:line="259" w:lineRule="auto"/>
              <w:ind w:left="0" w:firstLine="0"/>
              <w:jc w:val="left"/>
              <w:rPr>
                <w:b/>
                <w:bCs/>
                <w:sz w:val="24"/>
                <w:szCs w:val="28"/>
              </w:rPr>
            </w:pPr>
          </w:p>
        </w:tc>
      </w:tr>
      <w:tr w:rsidR="00270A48"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70A48" w:rsidRPr="00D05958" w:rsidRDefault="00270A48" w:rsidP="006A1F67">
            <w:pPr>
              <w:spacing w:after="0" w:line="259" w:lineRule="auto"/>
              <w:ind w:left="0" w:firstLine="0"/>
              <w:jc w:val="left"/>
              <w:rPr>
                <w:color w:val="00B0F0"/>
                <w:sz w:val="28"/>
                <w:szCs w:val="28"/>
              </w:rPr>
            </w:pPr>
            <w:r w:rsidRPr="00D05958">
              <w:rPr>
                <w:b/>
                <w:color w:val="00B0F0"/>
                <w:sz w:val="24"/>
                <w:szCs w:val="28"/>
              </w:rPr>
              <w:t xml:space="preserve">S 1.4.2. Qualification des fournisseurs </w:t>
            </w:r>
          </w:p>
          <w:p w:rsidR="00270A48" w:rsidRPr="00D05958" w:rsidRDefault="00270A48" w:rsidP="00270A48">
            <w:pPr>
              <w:numPr>
                <w:ilvl w:val="0"/>
                <w:numId w:val="1"/>
              </w:numPr>
              <w:spacing w:after="0" w:line="242" w:lineRule="auto"/>
              <w:ind w:firstLine="0"/>
              <w:jc w:val="left"/>
              <w:rPr>
                <w:sz w:val="28"/>
                <w:szCs w:val="28"/>
              </w:rPr>
            </w:pPr>
            <w:r w:rsidRPr="00D05958">
              <w:rPr>
                <w:sz w:val="24"/>
                <w:szCs w:val="28"/>
              </w:rPr>
              <w:t>Source d’informations pour rechercher des fournisseurs</w:t>
            </w:r>
          </w:p>
          <w:p w:rsidR="00270A48" w:rsidRPr="00D05958" w:rsidRDefault="00270A48" w:rsidP="00270A48">
            <w:pPr>
              <w:numPr>
                <w:ilvl w:val="0"/>
                <w:numId w:val="1"/>
              </w:numPr>
              <w:spacing w:after="0" w:line="242" w:lineRule="auto"/>
              <w:ind w:firstLine="0"/>
              <w:jc w:val="left"/>
              <w:rPr>
                <w:sz w:val="28"/>
                <w:szCs w:val="28"/>
              </w:rPr>
            </w:pPr>
            <w:r w:rsidRPr="00D05958">
              <w:rPr>
                <w:sz w:val="24"/>
                <w:szCs w:val="28"/>
              </w:rPr>
              <w:t xml:space="preserve">Processus de qualification des fournisseurs </w:t>
            </w:r>
          </w:p>
          <w:p w:rsidR="00270A48" w:rsidRPr="00D05958" w:rsidRDefault="00270A48" w:rsidP="00270A48">
            <w:pPr>
              <w:numPr>
                <w:ilvl w:val="0"/>
                <w:numId w:val="1"/>
              </w:numPr>
              <w:spacing w:after="0" w:line="259" w:lineRule="auto"/>
              <w:ind w:firstLine="0"/>
              <w:jc w:val="left"/>
              <w:rPr>
                <w:sz w:val="28"/>
                <w:szCs w:val="28"/>
              </w:rPr>
            </w:pPr>
            <w:r w:rsidRPr="00D05958">
              <w:rPr>
                <w:sz w:val="24"/>
                <w:szCs w:val="28"/>
              </w:rPr>
              <w:t xml:space="preserve">Risques fournisseurs </w:t>
            </w:r>
          </w:p>
          <w:p w:rsidR="00270A48" w:rsidRPr="00D05958" w:rsidRDefault="00270A48" w:rsidP="00270A48">
            <w:pPr>
              <w:numPr>
                <w:ilvl w:val="0"/>
                <w:numId w:val="1"/>
              </w:numPr>
              <w:spacing w:after="0" w:line="259" w:lineRule="auto"/>
              <w:ind w:firstLine="0"/>
              <w:jc w:val="left"/>
              <w:rPr>
                <w:sz w:val="28"/>
                <w:szCs w:val="28"/>
              </w:rPr>
            </w:pPr>
            <w:r w:rsidRPr="00D05958">
              <w:rPr>
                <w:sz w:val="24"/>
                <w:szCs w:val="28"/>
              </w:rPr>
              <w:t xml:space="preserve">Appel d’offres, cahier des charges </w:t>
            </w:r>
          </w:p>
          <w:p w:rsidR="00270A48" w:rsidRPr="00D05958" w:rsidRDefault="00270A48" w:rsidP="00270A48">
            <w:pPr>
              <w:numPr>
                <w:ilvl w:val="0"/>
                <w:numId w:val="1"/>
              </w:numPr>
              <w:spacing w:after="0" w:line="259" w:lineRule="auto"/>
              <w:ind w:firstLine="0"/>
              <w:jc w:val="left"/>
              <w:rPr>
                <w:sz w:val="28"/>
                <w:szCs w:val="28"/>
              </w:rPr>
            </w:pPr>
            <w:r w:rsidRPr="00D05958">
              <w:rPr>
                <w:sz w:val="24"/>
                <w:szCs w:val="28"/>
              </w:rPr>
              <w:t>E-</w:t>
            </w:r>
            <w:proofErr w:type="spellStart"/>
            <w:r w:rsidRPr="00D05958">
              <w:rPr>
                <w:sz w:val="24"/>
                <w:szCs w:val="28"/>
              </w:rPr>
              <w:t>procurement</w:t>
            </w:r>
            <w:proofErr w:type="spellEnd"/>
            <w:r w:rsidRPr="00D05958">
              <w:rPr>
                <w:sz w:val="24"/>
                <w:szCs w:val="28"/>
              </w:rPr>
              <w:t xml:space="preserve"> </w:t>
            </w:r>
          </w:p>
          <w:p w:rsidR="00270A48" w:rsidRPr="00671967" w:rsidRDefault="00270A48" w:rsidP="006A1F67">
            <w:pPr>
              <w:spacing w:after="0" w:line="242" w:lineRule="auto"/>
              <w:ind w:left="0" w:firstLine="0"/>
              <w:jc w:val="left"/>
              <w:rPr>
                <w:b/>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70A48" w:rsidRPr="00D05958" w:rsidRDefault="00270A48" w:rsidP="006A1F67">
            <w:pPr>
              <w:spacing w:after="0" w:line="241" w:lineRule="auto"/>
              <w:ind w:left="0" w:right="43" w:firstLine="0"/>
              <w:rPr>
                <w:b/>
                <w:bCs/>
                <w:color w:val="000000" w:themeColor="text1"/>
                <w:sz w:val="24"/>
                <w:szCs w:val="28"/>
              </w:rPr>
            </w:pPr>
            <w:r>
              <w:rPr>
                <w:sz w:val="20"/>
              </w:rPr>
              <w:t xml:space="preserve">L’étude de qualification des fournisseurs porte sur les étapes successives de sélection allant de la prise de contact à l’inscription en passant par la proposition, la négociation, l’analyse des risques, des tests de qualité. La certification des fournisseurs garantit à la PME cliente le respect de sa propre certification. Les types de certification (ISO, </w:t>
            </w:r>
            <w:proofErr w:type="spellStart"/>
            <w:r>
              <w:rPr>
                <w:sz w:val="20"/>
              </w:rPr>
              <w:t>Qualibat</w:t>
            </w:r>
            <w:proofErr w:type="spellEnd"/>
            <w:r>
              <w:rPr>
                <w:sz w:val="20"/>
              </w:rPr>
              <w:t>…) sont identifiés afin d’apprécier les fournisseurs. Les exemples prennent appui sur des situations professionnelles. Les critères de performance de base sont définis par rapport aux coûts, à la qualité et aux délais. Les risques fournisseurs sont étudiés au regard des risques financiers (dans une approche comparable à celle décrite précédemment pour les clients), techniques (respect de normes, …), de service et de livraison (respect des délais).</w:t>
            </w:r>
            <w:r>
              <w:rPr>
                <w:sz w:val="20"/>
                <w:u w:val="single" w:color="000000"/>
              </w:rPr>
              <w:t xml:space="preserve"> </w:t>
            </w:r>
            <w:r w:rsidRPr="00D05958">
              <w:rPr>
                <w:b/>
                <w:bCs/>
                <w:color w:val="000000" w:themeColor="text1"/>
                <w:sz w:val="24"/>
                <w:szCs w:val="28"/>
                <w:u w:val="single" w:color="000000"/>
              </w:rPr>
              <w:t>Cet aspect peut être travaillé en relation avec le programme de</w:t>
            </w:r>
            <w:r w:rsidRPr="00D05958">
              <w:rPr>
                <w:b/>
                <w:bCs/>
                <w:color w:val="000000" w:themeColor="text1"/>
                <w:sz w:val="24"/>
                <w:szCs w:val="28"/>
              </w:rPr>
              <w:t xml:space="preserve"> </w:t>
            </w:r>
            <w:r w:rsidRPr="00D05958">
              <w:rPr>
                <w:b/>
                <w:bCs/>
                <w:color w:val="000000" w:themeColor="text1"/>
                <w:sz w:val="24"/>
                <w:szCs w:val="28"/>
                <w:u w:val="single" w:color="000000"/>
              </w:rPr>
              <w:t>CEJM (thème 3)</w:t>
            </w:r>
            <w:r w:rsidRPr="00D05958">
              <w:rPr>
                <w:b/>
                <w:bCs/>
                <w:color w:val="000000" w:themeColor="text1"/>
                <w:sz w:val="24"/>
                <w:szCs w:val="28"/>
              </w:rPr>
              <w:t xml:space="preserve">. </w:t>
            </w:r>
          </w:p>
          <w:p w:rsidR="00270A48" w:rsidRDefault="00270A48" w:rsidP="006A1F67">
            <w:pPr>
              <w:spacing w:after="0" w:line="241" w:lineRule="auto"/>
              <w:ind w:left="0" w:right="43" w:firstLine="0"/>
            </w:pPr>
          </w:p>
          <w:p w:rsidR="00270A48" w:rsidRDefault="00270A48" w:rsidP="006A1F67">
            <w:pPr>
              <w:spacing w:after="0" w:line="241" w:lineRule="auto"/>
              <w:ind w:left="0" w:right="44" w:firstLine="0"/>
            </w:pPr>
            <w:r>
              <w:rPr>
                <w:sz w:val="20"/>
              </w:rPr>
              <w:t xml:space="preserve">Un lien entre appel d’offres et cahier des charges doit être établi pour montrer que l’appel d’offres permet à l’acheteur d’obtenir des propositions commerciales de fournisseurs en réponse à un cahier des charges définissant de manière détaillée le besoin de l’acheteur en terme de produit ou de service. </w:t>
            </w:r>
          </w:p>
          <w:p w:rsidR="00270A48" w:rsidRDefault="00270A48" w:rsidP="006A1F67">
            <w:pPr>
              <w:spacing w:after="0" w:line="241" w:lineRule="auto"/>
              <w:ind w:left="0" w:right="51" w:firstLine="0"/>
            </w:pPr>
            <w:r>
              <w:rPr>
                <w:sz w:val="20"/>
              </w:rPr>
              <w:t>Sous e-</w:t>
            </w:r>
            <w:proofErr w:type="spellStart"/>
            <w:r>
              <w:rPr>
                <w:sz w:val="20"/>
              </w:rPr>
              <w:t>procurement</w:t>
            </w:r>
            <w:proofErr w:type="spellEnd"/>
            <w:r>
              <w:rPr>
                <w:sz w:val="20"/>
              </w:rPr>
              <w:t xml:space="preserve">, on regroupe l'ensemble des solutions logicielles dont l'entreprise dispose pour effectuer ses achats et ses approvisionnements via internet. </w:t>
            </w:r>
          </w:p>
          <w:p w:rsidR="00270A48" w:rsidRDefault="00270A48" w:rsidP="006A1F67">
            <w:pPr>
              <w:spacing w:after="0" w:line="241" w:lineRule="auto"/>
              <w:ind w:left="0" w:firstLine="0"/>
              <w:jc w:val="left"/>
              <w:rPr>
                <w:sz w:val="20"/>
              </w:rPr>
            </w:pPr>
          </w:p>
        </w:tc>
      </w:tr>
      <w:tr w:rsidR="00270A48" w:rsidTr="006A1F67">
        <w:trPr>
          <w:trHeight w:val="526"/>
        </w:trPr>
        <w:tc>
          <w:tcPr>
            <w:tcW w:w="4253" w:type="dxa"/>
            <w:tcBorders>
              <w:top w:val="single" w:sz="8" w:space="0" w:color="000000"/>
              <w:left w:val="single" w:sz="8" w:space="0" w:color="000000"/>
              <w:bottom w:val="single" w:sz="8" w:space="0" w:color="000000"/>
              <w:right w:val="single" w:sz="8" w:space="0" w:color="000000"/>
            </w:tcBorders>
            <w:vAlign w:val="center"/>
          </w:tcPr>
          <w:p w:rsidR="00270A48" w:rsidRPr="00D05958" w:rsidRDefault="00270A48" w:rsidP="006A1F67">
            <w:pPr>
              <w:spacing w:after="0" w:line="259" w:lineRule="auto"/>
              <w:ind w:left="0" w:firstLine="0"/>
              <w:jc w:val="left"/>
              <w:rPr>
                <w:b/>
                <w:color w:val="00B0F0"/>
                <w:sz w:val="24"/>
                <w:szCs w:val="28"/>
              </w:rPr>
            </w:pPr>
            <w:r w:rsidRPr="00D05958">
              <w:rPr>
                <w:b/>
                <w:color w:val="00B0F0"/>
                <w:sz w:val="24"/>
                <w:szCs w:val="28"/>
              </w:rPr>
              <w:t>S1.4.3 Système d’information fournisseur</w:t>
            </w:r>
          </w:p>
          <w:p w:rsidR="00270A48" w:rsidRPr="00D05958" w:rsidRDefault="00270A48" w:rsidP="006A1F67">
            <w:pPr>
              <w:spacing w:after="0" w:line="259" w:lineRule="auto"/>
              <w:ind w:left="0" w:firstLine="0"/>
              <w:jc w:val="left"/>
              <w:rPr>
                <w:b/>
                <w:color w:val="00B0F0"/>
                <w:sz w:val="24"/>
                <w:szCs w:val="28"/>
              </w:rPr>
            </w:pPr>
          </w:p>
        </w:tc>
        <w:tc>
          <w:tcPr>
            <w:tcW w:w="6390" w:type="dxa"/>
            <w:tcBorders>
              <w:top w:val="single" w:sz="8" w:space="0" w:color="000000"/>
              <w:left w:val="single" w:sz="8" w:space="0" w:color="000000"/>
              <w:bottom w:val="single" w:sz="8" w:space="0" w:color="000000"/>
              <w:right w:val="single" w:sz="8" w:space="0" w:color="000000"/>
            </w:tcBorders>
            <w:vAlign w:val="center"/>
          </w:tcPr>
          <w:p w:rsidR="00270A48" w:rsidRDefault="00270A48" w:rsidP="006A1F67">
            <w:pPr>
              <w:spacing w:after="0" w:line="259" w:lineRule="auto"/>
              <w:ind w:left="0" w:right="45" w:firstLine="0"/>
              <w:rPr>
                <w:sz w:val="20"/>
              </w:rPr>
            </w:pPr>
            <w:r>
              <w:rPr>
                <w:sz w:val="20"/>
              </w:rPr>
              <w:t xml:space="preserve">Le système d’information fournisseur est une composante du système d’information mercatique. Son étude doit mettre en évidence les données stratégiques qu’il doit prendre en compte et mettre régulièrement à jour. Son articulation avec le système mercatique et le système d’information de l’entreprise est présentée dans le cadre d’un PGI. </w:t>
            </w:r>
          </w:p>
          <w:p w:rsidR="00270A48" w:rsidRDefault="00270A48" w:rsidP="006A1F67">
            <w:pPr>
              <w:spacing w:after="0" w:line="259" w:lineRule="auto"/>
              <w:ind w:left="0" w:right="45" w:firstLine="0"/>
              <w:rPr>
                <w:sz w:val="20"/>
              </w:rPr>
            </w:pPr>
          </w:p>
          <w:p w:rsidR="00270A48" w:rsidRPr="00D05958" w:rsidRDefault="00270A48" w:rsidP="006A1F67">
            <w:pPr>
              <w:spacing w:after="0" w:line="259" w:lineRule="auto"/>
              <w:ind w:left="0" w:right="45" w:firstLine="0"/>
              <w:rPr>
                <w:b/>
                <w:bCs/>
                <w:sz w:val="24"/>
                <w:szCs w:val="28"/>
              </w:rPr>
            </w:pPr>
            <w:r w:rsidRPr="00D05958">
              <w:rPr>
                <w:b/>
                <w:bCs/>
                <w:sz w:val="24"/>
                <w:szCs w:val="28"/>
                <w:u w:val="single" w:color="000000"/>
              </w:rPr>
              <w:t>L’étude peut être</w:t>
            </w:r>
            <w:r w:rsidRPr="00D05958">
              <w:rPr>
                <w:b/>
                <w:bCs/>
                <w:sz w:val="24"/>
                <w:szCs w:val="28"/>
              </w:rPr>
              <w:t xml:space="preserve"> </w:t>
            </w:r>
            <w:r w:rsidRPr="00D05958">
              <w:rPr>
                <w:b/>
                <w:bCs/>
                <w:sz w:val="24"/>
                <w:szCs w:val="28"/>
                <w:u w:val="single" w:color="000000"/>
              </w:rPr>
              <w:t>conduite en relation avec le thème 4 du programme de CEJM</w:t>
            </w:r>
          </w:p>
          <w:p w:rsidR="00270A48" w:rsidRDefault="00270A48" w:rsidP="006A1F67">
            <w:pPr>
              <w:spacing w:after="0" w:line="259" w:lineRule="auto"/>
              <w:ind w:left="0" w:right="45" w:firstLine="0"/>
              <w:rPr>
                <w:sz w:val="20"/>
              </w:rPr>
            </w:pPr>
          </w:p>
          <w:p w:rsidR="00270A48" w:rsidRDefault="00270A48" w:rsidP="006A1F67">
            <w:pPr>
              <w:spacing w:after="0" w:line="241" w:lineRule="auto"/>
              <w:ind w:left="0" w:right="43" w:firstLine="0"/>
              <w:rPr>
                <w:sz w:val="20"/>
              </w:rPr>
            </w:pPr>
          </w:p>
        </w:tc>
      </w:tr>
    </w:tbl>
    <w:p w:rsidR="00442A12" w:rsidRDefault="00442A12">
      <w:bookmarkStart w:id="0" w:name="_GoBack"/>
      <w:bookmarkEnd w:id="0"/>
    </w:p>
    <w:sectPr w:rsidR="00442A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2D62"/>
    <w:multiLevelType w:val="hybridMultilevel"/>
    <w:tmpl w:val="90128D7A"/>
    <w:lvl w:ilvl="0" w:tplc="FD26542C">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DA348A">
      <w:start w:val="1"/>
      <w:numFmt w:val="bullet"/>
      <w:lvlText w:val="o"/>
      <w:lvlJc w:val="left"/>
      <w:pPr>
        <w:ind w:left="11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B2F43E">
      <w:start w:val="1"/>
      <w:numFmt w:val="bullet"/>
      <w:lvlText w:val="▪"/>
      <w:lvlJc w:val="left"/>
      <w:pPr>
        <w:ind w:left="18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8EF17C">
      <w:start w:val="1"/>
      <w:numFmt w:val="bullet"/>
      <w:lvlText w:val="•"/>
      <w:lvlJc w:val="left"/>
      <w:pPr>
        <w:ind w:left="26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467884">
      <w:start w:val="1"/>
      <w:numFmt w:val="bullet"/>
      <w:lvlText w:val="o"/>
      <w:lvlJc w:val="left"/>
      <w:pPr>
        <w:ind w:left="33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BEDA3C">
      <w:start w:val="1"/>
      <w:numFmt w:val="bullet"/>
      <w:lvlText w:val="▪"/>
      <w:lvlJc w:val="left"/>
      <w:pPr>
        <w:ind w:left="405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FA584E">
      <w:start w:val="1"/>
      <w:numFmt w:val="bullet"/>
      <w:lvlText w:val="•"/>
      <w:lvlJc w:val="left"/>
      <w:pPr>
        <w:ind w:left="477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384ADA">
      <w:start w:val="1"/>
      <w:numFmt w:val="bullet"/>
      <w:lvlText w:val="o"/>
      <w:lvlJc w:val="left"/>
      <w:pPr>
        <w:ind w:left="54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BE64D8">
      <w:start w:val="1"/>
      <w:numFmt w:val="bullet"/>
      <w:lvlText w:val="▪"/>
      <w:lvlJc w:val="left"/>
      <w:pPr>
        <w:ind w:left="62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8"/>
    <w:rsid w:val="00270A48"/>
    <w:rsid w:val="00442A1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0C79FA-6EAA-4FB9-A7AF-E618879F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A48"/>
    <w:pPr>
      <w:spacing w:after="5" w:line="269" w:lineRule="auto"/>
      <w:ind w:left="10" w:hanging="10"/>
      <w:jc w:val="both"/>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270A48"/>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2338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2021-02-10T18:31:00Z</dcterms:created>
  <dcterms:modified xsi:type="dcterms:W3CDTF">2021-02-10T18:31:00Z</dcterms:modified>
</cp:coreProperties>
</file>