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897AF3"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897AF3" w:rsidRDefault="00897AF3" w:rsidP="006A1F67">
            <w:pPr>
              <w:spacing w:after="0" w:line="259" w:lineRule="auto"/>
              <w:ind w:left="0" w:firstLine="0"/>
              <w:jc w:val="left"/>
            </w:pPr>
            <w:r>
              <w:rPr>
                <w:b/>
                <w:sz w:val="24"/>
              </w:rPr>
              <w:t xml:space="preserve">Bloc de compétences 1 : gérer la relation avec les clients et les fournisseurs de la pme </w:t>
            </w:r>
          </w:p>
        </w:tc>
      </w:tr>
      <w:tr w:rsidR="00897AF3"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97AF3" w:rsidRPr="00301A3A" w:rsidRDefault="00897AF3"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897AF3" w:rsidRPr="00301A3A" w:rsidRDefault="00897AF3"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897AF3"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897AF3" w:rsidRPr="00671967" w:rsidRDefault="00897AF3" w:rsidP="006A1F67">
            <w:pPr>
              <w:spacing w:after="0" w:line="259" w:lineRule="auto"/>
              <w:ind w:left="0" w:firstLine="0"/>
              <w:jc w:val="center"/>
              <w:rPr>
                <w:b/>
                <w:bCs/>
                <w:color w:val="00B0F0"/>
                <w:sz w:val="24"/>
                <w:szCs w:val="28"/>
              </w:rPr>
            </w:pPr>
            <w:r>
              <w:rPr>
                <w:b/>
                <w:color w:val="00B0F0"/>
                <w:sz w:val="28"/>
                <w:szCs w:val="32"/>
              </w:rPr>
              <w:t>Savoirs 1.6.</w:t>
            </w:r>
            <w:r w:rsidRPr="00BC0A7F">
              <w:rPr>
                <w:b/>
                <w:color w:val="00B0F0"/>
                <w:sz w:val="28"/>
                <w:szCs w:val="32"/>
              </w:rPr>
              <w:t xml:space="preserve"> Suivi comptable des opérations avec les clients et les fournisseurs de la PME</w:t>
            </w:r>
          </w:p>
        </w:tc>
      </w:tr>
      <w:tr w:rsidR="00897AF3"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97AF3" w:rsidRPr="00BC0A7F" w:rsidRDefault="00897AF3" w:rsidP="006A1F67">
            <w:pPr>
              <w:spacing w:after="0" w:line="241" w:lineRule="auto"/>
              <w:ind w:left="0" w:right="496" w:firstLine="0"/>
              <w:jc w:val="left"/>
              <w:rPr>
                <w:color w:val="00B0F0"/>
                <w:sz w:val="28"/>
                <w:szCs w:val="28"/>
              </w:rPr>
            </w:pPr>
            <w:r w:rsidRPr="00BC0A7F">
              <w:rPr>
                <w:b/>
                <w:color w:val="00B0F0"/>
                <w:sz w:val="24"/>
                <w:szCs w:val="28"/>
              </w:rPr>
              <w:t xml:space="preserve">S 1.6.1 Principes comptables </w:t>
            </w:r>
          </w:p>
          <w:p w:rsidR="00897AF3" w:rsidRPr="00BC0A7F" w:rsidRDefault="00897AF3" w:rsidP="00897AF3">
            <w:pPr>
              <w:numPr>
                <w:ilvl w:val="0"/>
                <w:numId w:val="1"/>
              </w:numPr>
              <w:spacing w:after="0" w:line="239" w:lineRule="auto"/>
              <w:ind w:firstLine="0"/>
              <w:jc w:val="left"/>
              <w:rPr>
                <w:sz w:val="28"/>
                <w:szCs w:val="28"/>
              </w:rPr>
            </w:pPr>
            <w:r w:rsidRPr="00BC0A7F">
              <w:rPr>
                <w:sz w:val="24"/>
                <w:szCs w:val="28"/>
              </w:rPr>
              <w:t xml:space="preserve">Structure et fonctionnement du plan comptable </w:t>
            </w:r>
          </w:p>
          <w:p w:rsidR="00897AF3" w:rsidRPr="00BC0A7F" w:rsidRDefault="00897AF3" w:rsidP="00897AF3">
            <w:pPr>
              <w:numPr>
                <w:ilvl w:val="0"/>
                <w:numId w:val="1"/>
              </w:numPr>
              <w:spacing w:after="0" w:line="241" w:lineRule="auto"/>
              <w:ind w:firstLine="0"/>
              <w:jc w:val="left"/>
              <w:rPr>
                <w:sz w:val="28"/>
                <w:szCs w:val="28"/>
              </w:rPr>
            </w:pPr>
            <w:r w:rsidRPr="00BC0A7F">
              <w:rPr>
                <w:sz w:val="24"/>
                <w:szCs w:val="28"/>
              </w:rPr>
              <w:t xml:space="preserve">Principes de la partie double, - Comptabilisation des opérations de ventes de biens et services (doit, avoir, réductions commerciales et financière, frais de transport et frais accessoires) et des règlements </w:t>
            </w:r>
          </w:p>
          <w:p w:rsidR="00897AF3" w:rsidRPr="00BC0A7F" w:rsidRDefault="00897AF3" w:rsidP="00897AF3">
            <w:pPr>
              <w:numPr>
                <w:ilvl w:val="0"/>
                <w:numId w:val="1"/>
              </w:numPr>
              <w:spacing w:after="0" w:line="259" w:lineRule="auto"/>
              <w:ind w:firstLine="0"/>
              <w:jc w:val="left"/>
              <w:rPr>
                <w:sz w:val="28"/>
                <w:szCs w:val="28"/>
              </w:rPr>
            </w:pPr>
            <w:r w:rsidRPr="00BC0A7F">
              <w:rPr>
                <w:sz w:val="24"/>
                <w:szCs w:val="28"/>
              </w:rPr>
              <w:t xml:space="preserve">Grand livre auxiliaire et balance âgée </w:t>
            </w:r>
          </w:p>
          <w:p w:rsidR="00897AF3" w:rsidRPr="00BC0A7F" w:rsidRDefault="00897AF3" w:rsidP="00897AF3">
            <w:pPr>
              <w:numPr>
                <w:ilvl w:val="0"/>
                <w:numId w:val="1"/>
              </w:numPr>
              <w:spacing w:after="0" w:line="259" w:lineRule="auto"/>
              <w:ind w:firstLine="0"/>
              <w:jc w:val="left"/>
              <w:rPr>
                <w:sz w:val="28"/>
                <w:szCs w:val="28"/>
              </w:rPr>
            </w:pPr>
            <w:r w:rsidRPr="00BC0A7F">
              <w:rPr>
                <w:sz w:val="24"/>
                <w:szCs w:val="28"/>
              </w:rPr>
              <w:t xml:space="preserve">Suivi des comptes de tiers </w:t>
            </w:r>
          </w:p>
          <w:p w:rsidR="00897AF3" w:rsidRPr="00BC0A7F" w:rsidRDefault="00897AF3" w:rsidP="00897AF3">
            <w:pPr>
              <w:numPr>
                <w:ilvl w:val="0"/>
                <w:numId w:val="1"/>
              </w:numPr>
              <w:spacing w:after="0" w:line="259" w:lineRule="auto"/>
              <w:ind w:firstLine="0"/>
              <w:jc w:val="left"/>
              <w:rPr>
                <w:sz w:val="28"/>
                <w:szCs w:val="28"/>
              </w:rPr>
            </w:pPr>
            <w:r w:rsidRPr="00BC0A7F">
              <w:rPr>
                <w:sz w:val="24"/>
                <w:szCs w:val="28"/>
              </w:rPr>
              <w:t xml:space="preserve">Moyens de paiement </w:t>
            </w:r>
          </w:p>
          <w:p w:rsidR="00897AF3" w:rsidRDefault="00897AF3" w:rsidP="006A1F67">
            <w:pPr>
              <w:spacing w:after="0" w:line="259" w:lineRule="auto"/>
              <w:ind w:left="0" w:firstLine="0"/>
              <w:jc w:val="left"/>
            </w:pPr>
            <w:r>
              <w:rPr>
                <w:sz w:val="20"/>
              </w:rPr>
              <w:t xml:space="preserve"> </w:t>
            </w:r>
          </w:p>
          <w:p w:rsidR="00897AF3" w:rsidRPr="00671967" w:rsidRDefault="00897AF3" w:rsidP="006A1F67">
            <w:pPr>
              <w:spacing w:after="0" w:line="259" w:lineRule="auto"/>
              <w:ind w:left="0" w:firstLine="0"/>
              <w:jc w:val="left"/>
              <w:rPr>
                <w:b/>
                <w:bCs/>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897AF3" w:rsidRDefault="00897AF3" w:rsidP="006A1F67">
            <w:pPr>
              <w:spacing w:after="0" w:line="241" w:lineRule="auto"/>
              <w:ind w:left="0" w:right="44" w:firstLine="0"/>
            </w:pPr>
            <w:r>
              <w:rPr>
                <w:sz w:val="20"/>
              </w:rPr>
              <w:t>Il s’agit de comprendre les mécanismes comptables permettant aux titulaires du diplôme de préparer voire de contrôler les écritures ou d’être un interlocuteur auprès des services comptables internes ou externes à la PME. Les principes de la TVA et les obligations déclaratives et documentaires sont étudiés en relation avec l’établissement des documents commerciaux</w:t>
            </w:r>
            <w:r>
              <w:rPr>
                <w:color w:val="365F91"/>
                <w:sz w:val="20"/>
              </w:rPr>
              <w:t xml:space="preserve">. </w:t>
            </w:r>
            <w:r>
              <w:rPr>
                <w:sz w:val="20"/>
              </w:rPr>
              <w:t xml:space="preserve">Le PGI peut constituer un environnement pertinent pour appréhender la chaîne des documents comptables et de mettre en relation les flux avec les enregistrements comptables. Il peut également être utilisé afin de préparer la déclaration de TVA.  </w:t>
            </w:r>
          </w:p>
          <w:p w:rsidR="00897AF3" w:rsidRPr="00301A3A" w:rsidRDefault="00897AF3" w:rsidP="006A1F67">
            <w:pPr>
              <w:spacing w:after="0" w:line="259" w:lineRule="auto"/>
              <w:ind w:left="0" w:firstLine="0"/>
              <w:jc w:val="left"/>
              <w:rPr>
                <w:b/>
                <w:bCs/>
                <w:sz w:val="24"/>
                <w:szCs w:val="28"/>
              </w:rPr>
            </w:pPr>
          </w:p>
        </w:tc>
      </w:tr>
      <w:tr w:rsidR="00897AF3"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97AF3" w:rsidRPr="00BC0A7F" w:rsidRDefault="00897AF3" w:rsidP="006A1F67">
            <w:pPr>
              <w:spacing w:after="0" w:line="242" w:lineRule="auto"/>
              <w:ind w:left="0" w:firstLine="0"/>
              <w:jc w:val="left"/>
              <w:rPr>
                <w:b/>
                <w:color w:val="00B0F0"/>
                <w:sz w:val="24"/>
                <w:szCs w:val="28"/>
              </w:rPr>
            </w:pPr>
            <w:r w:rsidRPr="00BC0A7F">
              <w:rPr>
                <w:b/>
                <w:color w:val="00B0F0"/>
                <w:sz w:val="24"/>
                <w:szCs w:val="28"/>
              </w:rPr>
              <w:t>S 1.6.2 Principes et règles de calcul de la TVA</w:t>
            </w:r>
          </w:p>
          <w:p w:rsidR="00897AF3" w:rsidRPr="00BC0A7F" w:rsidRDefault="00897AF3" w:rsidP="006A1F67">
            <w:pPr>
              <w:spacing w:after="0" w:line="242" w:lineRule="auto"/>
              <w:ind w:left="0" w:firstLine="0"/>
              <w:jc w:val="left"/>
              <w:rPr>
                <w:sz w:val="28"/>
                <w:szCs w:val="28"/>
              </w:rPr>
            </w:pPr>
            <w:r w:rsidRPr="00BC0A7F">
              <w:rPr>
                <w:sz w:val="24"/>
                <w:szCs w:val="28"/>
              </w:rPr>
              <w:t xml:space="preserve"> (</w:t>
            </w:r>
            <w:proofErr w:type="gramStart"/>
            <w:r w:rsidRPr="00BC0A7F">
              <w:rPr>
                <w:sz w:val="24"/>
                <w:szCs w:val="28"/>
              </w:rPr>
              <w:t>champ</w:t>
            </w:r>
            <w:proofErr w:type="gramEnd"/>
            <w:r w:rsidRPr="00BC0A7F">
              <w:rPr>
                <w:sz w:val="24"/>
                <w:szCs w:val="28"/>
              </w:rPr>
              <w:t xml:space="preserve"> d’application, fait générateur, différents taux) </w:t>
            </w:r>
          </w:p>
          <w:p w:rsidR="00897AF3" w:rsidRPr="00BC0A7F" w:rsidRDefault="00897AF3" w:rsidP="00897AF3">
            <w:pPr>
              <w:numPr>
                <w:ilvl w:val="0"/>
                <w:numId w:val="2"/>
              </w:numPr>
              <w:spacing w:after="0" w:line="242" w:lineRule="auto"/>
              <w:ind w:firstLine="0"/>
              <w:jc w:val="left"/>
              <w:rPr>
                <w:sz w:val="28"/>
                <w:szCs w:val="28"/>
              </w:rPr>
            </w:pPr>
            <w:r w:rsidRPr="00BC0A7F">
              <w:rPr>
                <w:sz w:val="24"/>
                <w:szCs w:val="28"/>
              </w:rPr>
              <w:t xml:space="preserve">Mécanismes de la TVA et de la TVA intracommunautaire </w:t>
            </w:r>
          </w:p>
          <w:p w:rsidR="00897AF3" w:rsidRPr="00BC0A7F" w:rsidRDefault="00897AF3" w:rsidP="00897AF3">
            <w:pPr>
              <w:numPr>
                <w:ilvl w:val="0"/>
                <w:numId w:val="2"/>
              </w:numPr>
              <w:spacing w:after="0" w:line="259" w:lineRule="auto"/>
              <w:ind w:firstLine="0"/>
              <w:jc w:val="left"/>
              <w:rPr>
                <w:sz w:val="28"/>
                <w:szCs w:val="28"/>
              </w:rPr>
            </w:pPr>
            <w:r w:rsidRPr="00BC0A7F">
              <w:rPr>
                <w:sz w:val="24"/>
                <w:szCs w:val="28"/>
              </w:rPr>
              <w:t xml:space="preserve">Obligations liées à la TVA </w:t>
            </w:r>
          </w:p>
          <w:p w:rsidR="00897AF3" w:rsidRPr="00671967" w:rsidRDefault="00897AF3" w:rsidP="00897AF3">
            <w:pPr>
              <w:numPr>
                <w:ilvl w:val="0"/>
                <w:numId w:val="2"/>
              </w:numPr>
              <w:spacing w:after="0" w:line="259" w:lineRule="auto"/>
              <w:jc w:val="left"/>
              <w:rPr>
                <w:b/>
                <w:sz w:val="24"/>
                <w:szCs w:val="28"/>
              </w:rPr>
            </w:pPr>
            <w:r w:rsidRPr="00BC0A7F">
              <w:rPr>
                <w:sz w:val="24"/>
                <w:szCs w:val="28"/>
              </w:rPr>
              <w:t xml:space="preserve">Régimes et options en matière de TVA </w:t>
            </w:r>
          </w:p>
        </w:tc>
        <w:tc>
          <w:tcPr>
            <w:tcW w:w="6390" w:type="dxa"/>
            <w:tcBorders>
              <w:top w:val="single" w:sz="8" w:space="0" w:color="000000"/>
              <w:left w:val="single" w:sz="8" w:space="0" w:color="000000"/>
              <w:bottom w:val="single" w:sz="8" w:space="0" w:color="000000"/>
              <w:right w:val="single" w:sz="8" w:space="0" w:color="000000"/>
            </w:tcBorders>
            <w:vAlign w:val="center"/>
          </w:tcPr>
          <w:p w:rsidR="00897AF3" w:rsidRDefault="00897AF3" w:rsidP="006A1F67">
            <w:pPr>
              <w:spacing w:after="0" w:line="241" w:lineRule="auto"/>
              <w:ind w:left="0" w:right="44" w:firstLine="0"/>
            </w:pPr>
            <w:r>
              <w:rPr>
                <w:sz w:val="20"/>
              </w:rPr>
              <w:t>L’étude privilégie les principes de l’exigibilité et de la déductibilité de la TVA, l’incidence sur les enregistrements comptables et les obligations qui en découlent. La présentation de différents régimes (</w:t>
            </w:r>
            <w:hyperlink r:id="rId5" w:anchor="rsi">
              <w:r>
                <w:rPr>
                  <w:sz w:val="20"/>
                </w:rPr>
                <w:t xml:space="preserve">le régime simplifié </w:t>
              </w:r>
            </w:hyperlink>
            <w:hyperlink r:id="rId6" w:anchor="rsi">
              <w:r>
                <w:rPr>
                  <w:sz w:val="20"/>
                </w:rPr>
                <w:t>d’imposition</w:t>
              </w:r>
            </w:hyperlink>
            <w:hyperlink r:id="rId7" w:anchor="rsi">
              <w:r>
                <w:rPr>
                  <w:sz w:val="20"/>
                </w:rPr>
                <w:t>,</w:t>
              </w:r>
            </w:hyperlink>
            <w:hyperlink r:id="rId8" w:anchor="rn">
              <w:r>
                <w:rPr>
                  <w:sz w:val="20"/>
                </w:rPr>
                <w:t xml:space="preserve"> </w:t>
              </w:r>
            </w:hyperlink>
            <w:hyperlink r:id="rId9" w:anchor="rn">
              <w:r>
                <w:rPr>
                  <w:sz w:val="20"/>
                </w:rPr>
                <w:t>le régime réel normal)</w:t>
              </w:r>
            </w:hyperlink>
            <w:r>
              <w:rPr>
                <w:sz w:val="20"/>
              </w:rPr>
              <w:t xml:space="preserve"> et options (TVA sur les débits, TVA sur les encaissements) peut être effectuée afin de montrer aux étudiants le champs des possibles et construire des grilles d’observation qui pourront être mobilisées lors des stages. L’étude est conduite en prenant appui sur une documentation mise à disposition. </w:t>
            </w:r>
          </w:p>
          <w:p w:rsidR="00897AF3" w:rsidRDefault="00897AF3" w:rsidP="006A1F67">
            <w:pPr>
              <w:spacing w:after="0" w:line="241" w:lineRule="auto"/>
              <w:ind w:left="0" w:firstLine="0"/>
              <w:jc w:val="left"/>
              <w:rPr>
                <w:sz w:val="20"/>
              </w:rPr>
            </w:pPr>
          </w:p>
        </w:tc>
      </w:tr>
      <w:tr w:rsidR="00897AF3"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97AF3" w:rsidRPr="00BC0A7F" w:rsidRDefault="00897AF3" w:rsidP="006A1F67">
            <w:pPr>
              <w:spacing w:after="0" w:line="242" w:lineRule="auto"/>
              <w:ind w:left="0" w:firstLine="0"/>
              <w:jc w:val="left"/>
              <w:rPr>
                <w:color w:val="00B0F0"/>
                <w:sz w:val="28"/>
                <w:szCs w:val="28"/>
              </w:rPr>
            </w:pPr>
            <w:r w:rsidRPr="00BC0A7F">
              <w:rPr>
                <w:b/>
                <w:color w:val="00B0F0"/>
                <w:sz w:val="24"/>
                <w:szCs w:val="28"/>
              </w:rPr>
              <w:t xml:space="preserve">S 1.6.3 Suivi des encaissements et décaissements </w:t>
            </w:r>
          </w:p>
          <w:p w:rsidR="00897AF3" w:rsidRPr="00BC0A7F" w:rsidRDefault="00897AF3" w:rsidP="00897AF3">
            <w:pPr>
              <w:numPr>
                <w:ilvl w:val="0"/>
                <w:numId w:val="3"/>
              </w:numPr>
              <w:spacing w:after="0" w:line="242" w:lineRule="auto"/>
              <w:ind w:firstLine="0"/>
              <w:jc w:val="left"/>
              <w:rPr>
                <w:sz w:val="28"/>
                <w:szCs w:val="28"/>
              </w:rPr>
            </w:pPr>
            <w:r w:rsidRPr="00BC0A7F">
              <w:rPr>
                <w:sz w:val="24"/>
                <w:szCs w:val="28"/>
              </w:rPr>
              <w:t xml:space="preserve">Comptes de trésorerie, comptes de tiers </w:t>
            </w:r>
          </w:p>
          <w:p w:rsidR="00897AF3" w:rsidRPr="00BC0A7F" w:rsidRDefault="00897AF3" w:rsidP="00897AF3">
            <w:pPr>
              <w:numPr>
                <w:ilvl w:val="0"/>
                <w:numId w:val="3"/>
              </w:numPr>
              <w:spacing w:after="0" w:line="259" w:lineRule="auto"/>
              <w:ind w:firstLine="0"/>
              <w:jc w:val="left"/>
              <w:rPr>
                <w:sz w:val="28"/>
                <w:szCs w:val="28"/>
              </w:rPr>
            </w:pPr>
            <w:r w:rsidRPr="00BC0A7F">
              <w:rPr>
                <w:sz w:val="24"/>
                <w:szCs w:val="28"/>
              </w:rPr>
              <w:t xml:space="preserve">État de rapprochement </w:t>
            </w:r>
          </w:p>
          <w:p w:rsidR="00897AF3" w:rsidRPr="00BC0A7F" w:rsidRDefault="00897AF3" w:rsidP="00897AF3">
            <w:pPr>
              <w:numPr>
                <w:ilvl w:val="0"/>
                <w:numId w:val="3"/>
              </w:numPr>
              <w:spacing w:after="0" w:line="259" w:lineRule="auto"/>
              <w:ind w:firstLine="0"/>
              <w:jc w:val="left"/>
              <w:rPr>
                <w:sz w:val="28"/>
                <w:szCs w:val="28"/>
              </w:rPr>
            </w:pPr>
            <w:r w:rsidRPr="00BC0A7F">
              <w:rPr>
                <w:sz w:val="24"/>
                <w:szCs w:val="28"/>
              </w:rPr>
              <w:t xml:space="preserve">Incoterms </w:t>
            </w:r>
          </w:p>
          <w:p w:rsidR="00897AF3" w:rsidRPr="00BC0A7F" w:rsidRDefault="00897AF3" w:rsidP="00897AF3">
            <w:pPr>
              <w:numPr>
                <w:ilvl w:val="0"/>
                <w:numId w:val="3"/>
              </w:numPr>
              <w:spacing w:after="0" w:line="259" w:lineRule="auto"/>
              <w:ind w:firstLine="0"/>
              <w:jc w:val="left"/>
              <w:rPr>
                <w:sz w:val="28"/>
                <w:szCs w:val="28"/>
              </w:rPr>
            </w:pPr>
            <w:r w:rsidRPr="00BC0A7F">
              <w:rPr>
                <w:sz w:val="24"/>
                <w:szCs w:val="28"/>
              </w:rPr>
              <w:t xml:space="preserve">Principes de base du crédit documentaire </w:t>
            </w:r>
          </w:p>
          <w:p w:rsidR="00897AF3" w:rsidRDefault="00897AF3" w:rsidP="006A1F67">
            <w:pPr>
              <w:spacing w:after="0" w:line="242" w:lineRule="auto"/>
              <w:ind w:left="0" w:firstLine="0"/>
              <w:jc w:val="left"/>
              <w:rPr>
                <w:b/>
                <w:sz w:val="20"/>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897AF3" w:rsidRDefault="00897AF3" w:rsidP="006A1F67">
            <w:pPr>
              <w:spacing w:after="0" w:line="240" w:lineRule="auto"/>
              <w:ind w:left="0" w:right="48" w:firstLine="0"/>
            </w:pPr>
            <w:r>
              <w:rPr>
                <w:sz w:val="20"/>
              </w:rPr>
              <w:t xml:space="preserve">Le suivi des encaissements et des décaissements se limite aux opérations commerciales concrètes sans portée prévisionnelle. Il s’agit d’identifier les éventuels retards de paiements ou impayés. </w:t>
            </w:r>
          </w:p>
          <w:p w:rsidR="00897AF3" w:rsidRDefault="00897AF3" w:rsidP="006A1F67">
            <w:pPr>
              <w:spacing w:after="0" w:line="242" w:lineRule="auto"/>
              <w:ind w:left="0" w:firstLine="0"/>
              <w:jc w:val="left"/>
            </w:pPr>
            <w:r>
              <w:rPr>
                <w:sz w:val="20"/>
              </w:rPr>
              <w:t xml:space="preserve">L’étude de l’état de rapprochement porte sur le repérage des erreurs et oublis lors des enregistrements : </w:t>
            </w:r>
          </w:p>
          <w:p w:rsidR="00897AF3" w:rsidRDefault="00897AF3" w:rsidP="00897AF3">
            <w:pPr>
              <w:numPr>
                <w:ilvl w:val="0"/>
                <w:numId w:val="4"/>
              </w:numPr>
              <w:spacing w:after="0" w:line="259" w:lineRule="auto"/>
              <w:ind w:firstLine="0"/>
              <w:jc w:val="left"/>
            </w:pPr>
            <w:proofErr w:type="gramStart"/>
            <w:r>
              <w:rPr>
                <w:sz w:val="20"/>
              </w:rPr>
              <w:t>des</w:t>
            </w:r>
            <w:proofErr w:type="gramEnd"/>
            <w:r>
              <w:rPr>
                <w:sz w:val="20"/>
              </w:rPr>
              <w:t xml:space="preserve"> oublis d'enregistrements ; </w:t>
            </w:r>
          </w:p>
          <w:p w:rsidR="00897AF3" w:rsidRDefault="00897AF3" w:rsidP="00897AF3">
            <w:pPr>
              <w:numPr>
                <w:ilvl w:val="0"/>
                <w:numId w:val="4"/>
              </w:numPr>
              <w:spacing w:after="0" w:line="237" w:lineRule="auto"/>
              <w:ind w:firstLine="0"/>
              <w:jc w:val="left"/>
            </w:pPr>
            <w:proofErr w:type="gramStart"/>
            <w:r>
              <w:rPr>
                <w:sz w:val="20"/>
              </w:rPr>
              <w:t>des</w:t>
            </w:r>
            <w:proofErr w:type="gramEnd"/>
            <w:r>
              <w:rPr>
                <w:sz w:val="20"/>
              </w:rPr>
              <w:t xml:space="preserve"> agios, frais bancaires, que nous découvrons sur l'extrait de compte ;</w:t>
            </w:r>
            <w:r>
              <w:t xml:space="preserve"> </w:t>
            </w:r>
          </w:p>
          <w:p w:rsidR="00897AF3" w:rsidRDefault="00897AF3" w:rsidP="00897AF3">
            <w:pPr>
              <w:numPr>
                <w:ilvl w:val="0"/>
                <w:numId w:val="4"/>
              </w:numPr>
              <w:spacing w:after="0" w:line="259" w:lineRule="auto"/>
              <w:jc w:val="left"/>
              <w:rPr>
                <w:sz w:val="20"/>
              </w:rPr>
            </w:pPr>
            <w:proofErr w:type="gramStart"/>
            <w:r>
              <w:rPr>
                <w:sz w:val="20"/>
              </w:rPr>
              <w:t>des</w:t>
            </w:r>
            <w:proofErr w:type="gramEnd"/>
            <w:r>
              <w:rPr>
                <w:sz w:val="20"/>
              </w:rPr>
              <w:t xml:space="preserve"> erreurs d'enregistrements comptables ;</w:t>
            </w:r>
            <w:r>
              <w:t xml:space="preserve"> </w:t>
            </w:r>
            <w:r>
              <w:rPr>
                <w:sz w:val="20"/>
              </w:rPr>
              <w:t>des décalages de certaines opérations connues par l'établissement d'abord et que la banque enregistre après, ou inversement.</w:t>
            </w:r>
            <w:r>
              <w:t xml:space="preserve"> </w:t>
            </w:r>
            <w:r>
              <w:rPr>
                <w:sz w:val="20"/>
              </w:rPr>
              <w:t>Seules les notions de base relatives aux incoterms sont traitées (définition des incoterms, transferts de risques et de frais) en ayant pour objectif de définir les droits et devoirs des acheteurs et vendeurs participant à des échanges internationaux et nationaux</w:t>
            </w:r>
          </w:p>
        </w:tc>
      </w:tr>
    </w:tbl>
    <w:p w:rsidR="00442A12" w:rsidRDefault="00442A12">
      <w:bookmarkStart w:id="0" w:name="_GoBack"/>
      <w:bookmarkEnd w:id="0"/>
    </w:p>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2FB"/>
    <w:multiLevelType w:val="hybridMultilevel"/>
    <w:tmpl w:val="9CC83474"/>
    <w:lvl w:ilvl="0" w:tplc="B574C67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42AD0">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0898F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65228">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C8B2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C639E">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471DC">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4751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AAE8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6A19F4"/>
    <w:multiLevelType w:val="hybridMultilevel"/>
    <w:tmpl w:val="AF26B252"/>
    <w:lvl w:ilvl="0" w:tplc="62549EE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42F90">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243C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2F52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A9D1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6794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603C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A2C74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A0F8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597F05"/>
    <w:multiLevelType w:val="hybridMultilevel"/>
    <w:tmpl w:val="85C682BA"/>
    <w:lvl w:ilvl="0" w:tplc="993E7B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3C116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EB8B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A4A2D4">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B8854E">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A337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104A9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E75A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6E76E">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94A0213"/>
    <w:multiLevelType w:val="hybridMultilevel"/>
    <w:tmpl w:val="A18CFCE4"/>
    <w:lvl w:ilvl="0" w:tplc="51D0E7C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AE8E50">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C4E35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8AF62">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AC07A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FCFB38">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0992C">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E20F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68B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F3"/>
    <w:rsid w:val="00442A12"/>
    <w:rsid w:val="00897A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4F2C-3D0D-4564-ABE0-F2CBC470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F3"/>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97AF3"/>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ots.gouv.fr/portail/professionnel/les-regimes-dimposition-la-tva" TargetMode="External"/><Relationship Id="rId3" Type="http://schemas.openxmlformats.org/officeDocument/2006/relationships/settings" Target="settings.xml"/><Relationship Id="rId7" Type="http://schemas.openxmlformats.org/officeDocument/2006/relationships/hyperlink" Target="https://www.impots.gouv.fr/portail/professionnel/les-regimes-dimposition-la-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pots.gouv.fr/portail/professionnel/les-regimes-dimposition-la-tva" TargetMode="External"/><Relationship Id="rId11" Type="http://schemas.openxmlformats.org/officeDocument/2006/relationships/theme" Target="theme/theme1.xml"/><Relationship Id="rId5" Type="http://schemas.openxmlformats.org/officeDocument/2006/relationships/hyperlink" Target="https://www.impots.gouv.fr/portail/professionnel/les-regimes-dimposition-la-tv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mpots.gouv.fr/portail/professionnel/les-regimes-dimposition-la-tv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3046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2021-02-10T18:38:00Z</dcterms:created>
  <dcterms:modified xsi:type="dcterms:W3CDTF">2021-02-10T18:39:00Z</dcterms:modified>
</cp:coreProperties>
</file>