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94728D" w:rsidRDefault="005E70D3" w:rsidP="005E70D3">
                            <w:pPr>
                              <w:jc w:val="center"/>
                              <w:rPr>
                                <w:rFonts w:cs="Arial"/>
                                <w:b/>
                                <w:bCs/>
                                <w:i/>
                                <w:iCs/>
                                <w:sz w:val="32"/>
                                <w:szCs w:val="32"/>
                              </w:rPr>
                            </w:pPr>
                            <w:r w:rsidRPr="005E70D3">
                              <w:rPr>
                                <w:rFonts w:cs="Arial"/>
                                <w:b/>
                                <w:bCs/>
                                <w:i/>
                                <w:iCs/>
                                <w:sz w:val="32"/>
                                <w:szCs w:val="32"/>
                              </w:rPr>
                              <w:t>3.3. Les transformations numériques, de nouvelles responsabilités pour les organisations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94728D" w:rsidRDefault="005E70D3" w:rsidP="005E70D3">
                      <w:pPr>
                        <w:jc w:val="center"/>
                        <w:rPr>
                          <w:rFonts w:cs="Arial"/>
                          <w:b/>
                          <w:bCs/>
                          <w:i/>
                          <w:iCs/>
                          <w:sz w:val="32"/>
                          <w:szCs w:val="32"/>
                        </w:rPr>
                      </w:pPr>
                      <w:r w:rsidRPr="005E70D3">
                        <w:rPr>
                          <w:rFonts w:cs="Arial"/>
                          <w:b/>
                          <w:bCs/>
                          <w:i/>
                          <w:iCs/>
                          <w:sz w:val="32"/>
                          <w:szCs w:val="32"/>
                        </w:rPr>
                        <w:t>3.3. Les transformations numériques, de nouvelles responsabilités pour les organisations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0F28F8" w:rsidRPr="004400AC" w:rsidRDefault="000F28F8" w:rsidP="00E56267">
      <w:pPr>
        <w:spacing w:after="10"/>
        <w:ind w:left="422" w:hanging="360"/>
        <w:jc w:val="both"/>
        <w:rPr>
          <w:b/>
          <w:bCs/>
          <w:color w:val="FF0000"/>
        </w:rPr>
      </w:pPr>
      <w:r w:rsidRPr="004400AC">
        <w:rPr>
          <w:b/>
          <w:bCs/>
          <w:color w:val="FF0000"/>
        </w:rPr>
        <w:lastRenderedPageBreak/>
        <w:t>1)</w:t>
      </w:r>
      <w:r w:rsidRPr="004400AC">
        <w:rPr>
          <w:rFonts w:eastAsia="Arial" w:cs="Arial"/>
          <w:b/>
          <w:bCs/>
          <w:color w:val="FF0000"/>
        </w:rPr>
        <w:t xml:space="preserve"> </w:t>
      </w:r>
      <w:r w:rsidRPr="004400AC">
        <w:rPr>
          <w:b/>
          <w:bCs/>
          <w:color w:val="FF0000"/>
        </w:rPr>
        <w:t xml:space="preserve">Indiquer si l’entreprise collecte ou possède des données personnelles au sens du RGPD. Si oui, présenter certaines des mesures à mettre en place pour être conforme au règlement européen. </w:t>
      </w:r>
    </w:p>
    <w:p w:rsidR="000F28F8" w:rsidRPr="004400AC" w:rsidRDefault="000F28F8" w:rsidP="00E56267">
      <w:pPr>
        <w:spacing w:line="259" w:lineRule="auto"/>
        <w:ind w:left="11"/>
        <w:jc w:val="both"/>
        <w:rPr>
          <w:b/>
          <w:bCs/>
          <w:color w:val="FF0000"/>
        </w:rPr>
      </w:pPr>
      <w:r w:rsidRPr="004400AC">
        <w:rPr>
          <w:b/>
          <w:bCs/>
          <w:i/>
          <w:color w:val="FF0000"/>
        </w:rPr>
        <w:t xml:space="preserve"> </w:t>
      </w:r>
    </w:p>
    <w:p w:rsidR="000F28F8" w:rsidRDefault="000F28F8" w:rsidP="00E56267">
      <w:pPr>
        <w:spacing w:after="87"/>
        <w:ind w:left="14"/>
        <w:jc w:val="both"/>
      </w:pPr>
      <w:r w:rsidRPr="004400AC">
        <w:rPr>
          <w:b/>
          <w:bCs/>
          <w:i/>
        </w:rPr>
        <w:t>Intentions :</w:t>
      </w:r>
      <w:r>
        <w:rPr>
          <w:b/>
        </w:rPr>
        <w:t xml:space="preserve"> </w:t>
      </w:r>
      <w:r>
        <w:t xml:space="preserve">l’élève est capable d’analyser les responsabilités de l’entreprise liées aux transformations numériques. </w:t>
      </w:r>
    </w:p>
    <w:p w:rsidR="000F28F8" w:rsidRDefault="000F28F8" w:rsidP="00E56267">
      <w:pPr>
        <w:ind w:left="14"/>
        <w:jc w:val="both"/>
      </w:pPr>
      <w:r w:rsidRPr="004400AC">
        <w:rPr>
          <w:b/>
          <w:bCs/>
          <w:i/>
        </w:rPr>
        <w:t>Notion :</w:t>
      </w:r>
      <w:r>
        <w:rPr>
          <w:i/>
        </w:rPr>
        <w:t xml:space="preserve"> </w:t>
      </w:r>
      <w:r>
        <w:t>utilisation et protection des données personnelles</w:t>
      </w:r>
      <w:r>
        <w:rPr>
          <w:i/>
        </w:rPr>
        <w:t xml:space="preserve"> </w:t>
      </w:r>
    </w:p>
    <w:p w:rsidR="000F28F8" w:rsidRDefault="004400AC" w:rsidP="00E56267">
      <w:pPr>
        <w:spacing w:line="259" w:lineRule="auto"/>
        <w:ind w:left="11"/>
        <w:jc w:val="both"/>
      </w:pPr>
      <w:r w:rsidRPr="004400AC">
        <w:rPr>
          <w:b/>
          <w:bCs/>
          <w:i/>
          <w:iCs/>
        </w:rPr>
        <w:t>Repérage des informations :</w:t>
      </w:r>
      <w:r>
        <w:t xml:space="preserve"> </w:t>
      </w:r>
      <w:proofErr w:type="spellStart"/>
      <w:r w:rsidR="000F28F8">
        <w:t>O’tera</w:t>
      </w:r>
      <w:proofErr w:type="spellEnd"/>
      <w:r w:rsidR="000F28F8">
        <w:t xml:space="preserve"> utilise plusieurs données associées à ses clients : des données d’identification liées au numéro d’adhérent (nom, prénom, adresse, téléphone et adresse de courriel) mais aussi des données liées à ses achats. </w:t>
      </w:r>
    </w:p>
    <w:p w:rsidR="000F28F8" w:rsidRDefault="000F28F8" w:rsidP="00E56267">
      <w:pPr>
        <w:jc w:val="both"/>
      </w:pPr>
      <w:r w:rsidRPr="004400AC">
        <w:rPr>
          <w:b/>
          <w:bCs/>
          <w:i/>
          <w:iCs/>
        </w:rPr>
        <w:t>Éléments d’argumentation</w:t>
      </w:r>
      <w:r w:rsidR="004400AC" w:rsidRPr="004400AC">
        <w:rPr>
          <w:b/>
          <w:bCs/>
          <w:i/>
          <w:iCs/>
        </w:rPr>
        <w:t xml:space="preserve"> : </w:t>
      </w:r>
      <w:r>
        <w:t xml:space="preserve">Au sens du RGPD, une donnée personnelle est une information qui permet d’identifier directement ou indirectement une personne. Les données reliées au numéro d’adhérent des clients (prénom, nom, adresse, téléphone, adresse électronique) sont ainsi des données personnelles. L’historique des achats peut aussi être considéré comme une donnée personnelle.  </w:t>
      </w:r>
    </w:p>
    <w:p w:rsidR="000F28F8" w:rsidRDefault="000F28F8" w:rsidP="00E56267">
      <w:pPr>
        <w:spacing w:after="108"/>
        <w:ind w:left="14"/>
        <w:jc w:val="both"/>
      </w:pPr>
      <w:r>
        <w:t xml:space="preserve">Inversement, les commentaires publics sur le site </w:t>
      </w:r>
      <w:r>
        <w:rPr>
          <w:i/>
        </w:rPr>
        <w:t>Facebook</w:t>
      </w:r>
      <w:r>
        <w:t xml:space="preserve"> de l’entreprise ne le sont pas. </w:t>
      </w:r>
    </w:p>
    <w:p w:rsidR="000F28F8" w:rsidRDefault="000F28F8" w:rsidP="00E56267">
      <w:pPr>
        <w:ind w:left="14"/>
        <w:jc w:val="both"/>
      </w:pPr>
      <w:r>
        <w:t xml:space="preserve">L’entreprise doit alors se conformer aux principes du RGPD, comme par exemple : la protection des données dès la conception du système d’information, la minimisation des données (ne pas collecter de données inutiles à l’objectif), demander le consentement des clients, informer en cas de violation de données personnelles. </w:t>
      </w:r>
    </w:p>
    <w:p w:rsidR="000F28F8" w:rsidRDefault="000F28F8" w:rsidP="00E56267">
      <w:pPr>
        <w:spacing w:line="259" w:lineRule="auto"/>
        <w:ind w:left="77"/>
        <w:jc w:val="both"/>
      </w:pPr>
      <w:r>
        <w:t xml:space="preserve"> </w:t>
      </w:r>
    </w:p>
    <w:p w:rsidR="000F28F8" w:rsidRDefault="000F28F8" w:rsidP="00E56267">
      <w:pPr>
        <w:ind w:left="84"/>
        <w:jc w:val="both"/>
      </w:pPr>
      <w:r>
        <w:t xml:space="preserve">Voici quelques exemples de mesures concrètes à mettre en place :  </w:t>
      </w:r>
    </w:p>
    <w:p w:rsidR="000F28F8" w:rsidRDefault="000F28F8" w:rsidP="00E56267">
      <w:pPr>
        <w:numPr>
          <w:ilvl w:val="0"/>
          <w:numId w:val="27"/>
        </w:numPr>
        <w:spacing w:after="5" w:line="249" w:lineRule="auto"/>
        <w:ind w:hanging="360"/>
        <w:jc w:val="both"/>
      </w:pPr>
      <w:proofErr w:type="gramStart"/>
      <w:r>
        <w:t>constituer</w:t>
      </w:r>
      <w:proofErr w:type="gramEnd"/>
      <w:r>
        <w:t xml:space="preserve"> un registre de traitements des données ; </w:t>
      </w:r>
    </w:p>
    <w:p w:rsidR="000F28F8" w:rsidRDefault="000F28F8" w:rsidP="00E56267">
      <w:pPr>
        <w:numPr>
          <w:ilvl w:val="0"/>
          <w:numId w:val="27"/>
        </w:numPr>
        <w:spacing w:after="25" w:line="249" w:lineRule="auto"/>
        <w:ind w:hanging="360"/>
        <w:jc w:val="both"/>
      </w:pPr>
      <w:proofErr w:type="gramStart"/>
      <w:r>
        <w:t>faire</w:t>
      </w:r>
      <w:proofErr w:type="gramEnd"/>
      <w:r>
        <w:t xml:space="preserve"> le tri dans les données, pour ne garder que les données strictement nécessaires (par exemple, faut</w:t>
      </w:r>
      <w:r>
        <w:rPr>
          <w:rFonts w:ascii="Cambria Math" w:hAnsi="Cambria Math" w:cs="Cambria Math"/>
        </w:rPr>
        <w:t>‐</w:t>
      </w:r>
      <w:r>
        <w:t>il collecter l</w:t>
      </w:r>
      <w:r>
        <w:rPr>
          <w:rFonts w:cs="Arial"/>
        </w:rPr>
        <w:t>’</w:t>
      </w:r>
      <w:r>
        <w:t>adresse compl</w:t>
      </w:r>
      <w:r>
        <w:rPr>
          <w:rFonts w:cs="Arial"/>
        </w:rPr>
        <w:t>è</w:t>
      </w:r>
      <w:r>
        <w:t xml:space="preserve">te des clients, ou seule la ville suffit ?) ; </w:t>
      </w:r>
    </w:p>
    <w:p w:rsidR="000F28F8" w:rsidRDefault="000F28F8" w:rsidP="00E56267">
      <w:pPr>
        <w:numPr>
          <w:ilvl w:val="0"/>
          <w:numId w:val="27"/>
        </w:numPr>
        <w:spacing w:after="5" w:line="249" w:lineRule="auto"/>
        <w:ind w:hanging="360"/>
        <w:jc w:val="both"/>
      </w:pPr>
      <w:proofErr w:type="gramStart"/>
      <w:r>
        <w:t>informer</w:t>
      </w:r>
      <w:proofErr w:type="gramEnd"/>
      <w:r>
        <w:t xml:space="preserve"> les clients de l’ensemble des données collectées ; </w:t>
      </w:r>
    </w:p>
    <w:p w:rsidR="000F28F8" w:rsidRDefault="000F28F8" w:rsidP="00E56267">
      <w:pPr>
        <w:numPr>
          <w:ilvl w:val="0"/>
          <w:numId w:val="27"/>
        </w:numPr>
        <w:spacing w:after="5" w:line="249" w:lineRule="auto"/>
        <w:ind w:hanging="360"/>
        <w:jc w:val="both"/>
      </w:pPr>
      <w:proofErr w:type="gramStart"/>
      <w:r>
        <w:t>prévoir</w:t>
      </w:r>
      <w:proofErr w:type="gramEnd"/>
      <w:r>
        <w:t xml:space="preserve"> un processus pour garantir le droit des clients sur le traitement des données (par exemple le droit d’effacement, ou le droit de rectification). </w:t>
      </w:r>
    </w:p>
    <w:p w:rsidR="000F28F8" w:rsidRDefault="000F28F8" w:rsidP="000F28F8">
      <w:pPr>
        <w:spacing w:line="259" w:lineRule="auto"/>
        <w:ind w:left="77"/>
      </w:pPr>
      <w:r>
        <w:t xml:space="preserve"> </w:t>
      </w:r>
    </w:p>
    <w:p w:rsidR="000F28F8" w:rsidRPr="00E56267" w:rsidRDefault="000F28F8" w:rsidP="00E56267">
      <w:pPr>
        <w:spacing w:after="13" w:line="259" w:lineRule="auto"/>
        <w:ind w:left="77"/>
        <w:rPr>
          <w:b/>
          <w:bCs/>
          <w:color w:val="FF0000"/>
        </w:rPr>
      </w:pPr>
      <w:r>
        <w:t xml:space="preserve"> </w:t>
      </w:r>
      <w:r w:rsidRPr="00E56267">
        <w:rPr>
          <w:b/>
          <w:bCs/>
          <w:color w:val="FF0000"/>
        </w:rPr>
        <w:t>2)</w:t>
      </w:r>
      <w:r w:rsidRPr="00E56267">
        <w:rPr>
          <w:rFonts w:eastAsia="Arial" w:cs="Arial"/>
          <w:b/>
          <w:bCs/>
          <w:color w:val="FF0000"/>
        </w:rPr>
        <w:t xml:space="preserve"> </w:t>
      </w:r>
      <w:r w:rsidRPr="00E56267">
        <w:rPr>
          <w:b/>
          <w:bCs/>
          <w:color w:val="FF0000"/>
        </w:rPr>
        <w:t xml:space="preserve">Citer des données stratégiques détenues par </w:t>
      </w:r>
      <w:proofErr w:type="spellStart"/>
      <w:r w:rsidRPr="00E56267">
        <w:rPr>
          <w:b/>
          <w:bCs/>
          <w:color w:val="FF0000"/>
        </w:rPr>
        <w:t>O’tera</w:t>
      </w:r>
      <w:proofErr w:type="spellEnd"/>
      <w:r w:rsidRPr="00E56267">
        <w:rPr>
          <w:b/>
          <w:bCs/>
          <w:color w:val="FF0000"/>
        </w:rPr>
        <w:t xml:space="preserve"> et expliquer comment elles pourraient être protégées. </w:t>
      </w:r>
    </w:p>
    <w:p w:rsidR="000F28F8" w:rsidRPr="00E56267" w:rsidRDefault="000F28F8" w:rsidP="000F28F8">
      <w:pPr>
        <w:spacing w:line="259" w:lineRule="auto"/>
        <w:ind w:left="11"/>
        <w:rPr>
          <w:b/>
          <w:bCs/>
          <w:color w:val="FF0000"/>
        </w:rPr>
      </w:pPr>
      <w:r w:rsidRPr="00E56267">
        <w:rPr>
          <w:b/>
          <w:bCs/>
          <w:i/>
          <w:color w:val="FF0000"/>
        </w:rPr>
        <w:t xml:space="preserve"> </w:t>
      </w:r>
    </w:p>
    <w:p w:rsidR="000F28F8" w:rsidRDefault="000F28F8" w:rsidP="000F28F8">
      <w:pPr>
        <w:spacing w:after="108"/>
        <w:ind w:left="14"/>
      </w:pPr>
      <w:r w:rsidRPr="00E56267">
        <w:rPr>
          <w:b/>
          <w:bCs/>
          <w:i/>
        </w:rPr>
        <w:t>Intentions :</w:t>
      </w:r>
      <w:r>
        <w:rPr>
          <w:b/>
        </w:rPr>
        <w:t xml:space="preserve"> </w:t>
      </w:r>
      <w:r>
        <w:t xml:space="preserve">l’élève est capable d’analyser les responsabilités de l’entreprise liées aux transformations numériques. </w:t>
      </w:r>
    </w:p>
    <w:p w:rsidR="000F28F8" w:rsidRDefault="000F28F8" w:rsidP="000F28F8">
      <w:pPr>
        <w:ind w:left="14"/>
      </w:pPr>
      <w:r w:rsidRPr="00E56267">
        <w:rPr>
          <w:b/>
          <w:bCs/>
          <w:i/>
        </w:rPr>
        <w:t>Notion :</w:t>
      </w:r>
      <w:r>
        <w:rPr>
          <w:i/>
        </w:rPr>
        <w:t xml:space="preserve"> </w:t>
      </w:r>
      <w:r>
        <w:t>utilisation et protection des données stratégiques</w:t>
      </w:r>
      <w:r>
        <w:rPr>
          <w:i/>
        </w:rPr>
        <w:t xml:space="preserve"> </w:t>
      </w:r>
    </w:p>
    <w:p w:rsidR="000F28F8" w:rsidRPr="00E56267" w:rsidRDefault="000F28F8" w:rsidP="00E56267">
      <w:pPr>
        <w:spacing w:line="259" w:lineRule="auto"/>
        <w:ind w:left="11"/>
        <w:rPr>
          <w:b/>
          <w:bCs/>
          <w:i/>
          <w:iCs/>
        </w:rPr>
      </w:pPr>
      <w:r w:rsidRPr="00E56267">
        <w:rPr>
          <w:b/>
          <w:bCs/>
          <w:i/>
          <w:iCs/>
        </w:rPr>
        <w:t xml:space="preserve">Repérage des informations  </w:t>
      </w:r>
    </w:p>
    <w:p w:rsidR="000F28F8" w:rsidRDefault="000F28F8" w:rsidP="000F28F8">
      <w:pPr>
        <w:ind w:left="14"/>
      </w:pPr>
      <w:r>
        <w:t xml:space="preserve">L’entreprise détient plusieurs données stratégiques qu’il lui faut protéger :  </w:t>
      </w:r>
    </w:p>
    <w:p w:rsidR="000F28F8" w:rsidRDefault="000F28F8" w:rsidP="000F28F8">
      <w:pPr>
        <w:numPr>
          <w:ilvl w:val="0"/>
          <w:numId w:val="28"/>
        </w:numPr>
        <w:spacing w:after="5" w:line="249" w:lineRule="auto"/>
        <w:ind w:hanging="360"/>
        <w:jc w:val="both"/>
      </w:pPr>
      <w:proofErr w:type="gramStart"/>
      <w:r>
        <w:t>des</w:t>
      </w:r>
      <w:proofErr w:type="gramEnd"/>
      <w:r>
        <w:t xml:space="preserve"> données relatives aux ressources humaines (la grille des salaires, les profils des collaborateurs, les besoins de recrutement) ; </w:t>
      </w:r>
    </w:p>
    <w:p w:rsidR="000F28F8" w:rsidRDefault="000F28F8" w:rsidP="000F28F8">
      <w:pPr>
        <w:numPr>
          <w:ilvl w:val="0"/>
          <w:numId w:val="28"/>
        </w:numPr>
        <w:spacing w:after="5" w:line="249" w:lineRule="auto"/>
        <w:ind w:hanging="360"/>
        <w:jc w:val="both"/>
      </w:pPr>
      <w:proofErr w:type="gramStart"/>
      <w:r>
        <w:t>des</w:t>
      </w:r>
      <w:proofErr w:type="gramEnd"/>
      <w:r>
        <w:t xml:space="preserve"> données commerciales (les tableaux de bord hebdomadaires des rayons par exemple) ; </w:t>
      </w:r>
    </w:p>
    <w:p w:rsidR="000F28F8" w:rsidRDefault="000F28F8" w:rsidP="000F28F8">
      <w:pPr>
        <w:numPr>
          <w:ilvl w:val="0"/>
          <w:numId w:val="28"/>
        </w:numPr>
        <w:spacing w:after="5" w:line="249" w:lineRule="auto"/>
        <w:ind w:hanging="360"/>
        <w:jc w:val="both"/>
      </w:pPr>
      <w:proofErr w:type="gramStart"/>
      <w:r>
        <w:t>des</w:t>
      </w:r>
      <w:proofErr w:type="gramEnd"/>
      <w:r>
        <w:t xml:space="preserve"> données financières et de gestion (analyse de la structure de coûts, tableaux de trésorerie, état des stocks, etc.). </w:t>
      </w:r>
    </w:p>
    <w:p w:rsidR="00E56267" w:rsidRDefault="000F28F8" w:rsidP="000F28F8">
      <w:pPr>
        <w:spacing w:line="259" w:lineRule="auto"/>
        <w:ind w:left="11"/>
      </w:pPr>
      <w:r>
        <w:t xml:space="preserve"> </w:t>
      </w:r>
    </w:p>
    <w:p w:rsidR="00E56267" w:rsidRDefault="00E56267">
      <w:pPr>
        <w:spacing w:after="160" w:line="259" w:lineRule="auto"/>
      </w:pPr>
      <w:r>
        <w:br w:type="page"/>
      </w:r>
    </w:p>
    <w:p w:rsidR="000F28F8" w:rsidRDefault="000F28F8" w:rsidP="000F28F8">
      <w:pPr>
        <w:spacing w:line="259" w:lineRule="auto"/>
        <w:ind w:left="11"/>
      </w:pPr>
    </w:p>
    <w:p w:rsidR="000F28F8" w:rsidRPr="00E56267" w:rsidRDefault="000F28F8" w:rsidP="00752332">
      <w:pPr>
        <w:jc w:val="both"/>
        <w:rPr>
          <w:b/>
          <w:bCs/>
        </w:rPr>
      </w:pPr>
      <w:bookmarkStart w:id="0" w:name="_GoBack"/>
      <w:r w:rsidRPr="00E56267">
        <w:rPr>
          <w:b/>
          <w:bCs/>
        </w:rPr>
        <w:t xml:space="preserve">Éléments d’argumentation concernant la protection des données </w:t>
      </w:r>
    </w:p>
    <w:p w:rsidR="000F28F8" w:rsidRDefault="000F28F8" w:rsidP="00752332">
      <w:pPr>
        <w:ind w:left="14"/>
        <w:jc w:val="both"/>
      </w:pPr>
      <w:r>
        <w:t xml:space="preserve">Pour protéger ces données, plusieurs actions sont envisagées :  </w:t>
      </w:r>
    </w:p>
    <w:p w:rsidR="000F28F8" w:rsidRDefault="000F28F8" w:rsidP="00752332">
      <w:pPr>
        <w:numPr>
          <w:ilvl w:val="0"/>
          <w:numId w:val="29"/>
        </w:numPr>
        <w:spacing w:after="5" w:line="249" w:lineRule="auto"/>
        <w:ind w:hanging="360"/>
        <w:jc w:val="both"/>
      </w:pPr>
      <w:proofErr w:type="gramStart"/>
      <w:r>
        <w:t>un</w:t>
      </w:r>
      <w:proofErr w:type="gramEnd"/>
      <w:r>
        <w:t xml:space="preserve"> contrôle d’accès aux données les plus sensibles ; </w:t>
      </w:r>
    </w:p>
    <w:p w:rsidR="000F28F8" w:rsidRDefault="000F28F8" w:rsidP="00752332">
      <w:pPr>
        <w:numPr>
          <w:ilvl w:val="0"/>
          <w:numId w:val="29"/>
        </w:numPr>
        <w:spacing w:after="25" w:line="249" w:lineRule="auto"/>
        <w:ind w:hanging="360"/>
        <w:jc w:val="both"/>
      </w:pPr>
      <w:proofErr w:type="gramStart"/>
      <w:r>
        <w:t>la</w:t>
      </w:r>
      <w:proofErr w:type="gramEnd"/>
      <w:r>
        <w:t xml:space="preserve"> mise en place de systèmes de protection (chiffrement des données et des échanges, sécurisation des réseaux et des postes informatiques) ; </w:t>
      </w:r>
    </w:p>
    <w:p w:rsidR="00752332" w:rsidRDefault="000F28F8" w:rsidP="00752332">
      <w:pPr>
        <w:numPr>
          <w:ilvl w:val="0"/>
          <w:numId w:val="29"/>
        </w:numPr>
        <w:spacing w:after="107" w:line="249" w:lineRule="auto"/>
        <w:ind w:hanging="360"/>
        <w:jc w:val="both"/>
      </w:pPr>
      <w:proofErr w:type="gramStart"/>
      <w:r>
        <w:t>une</w:t>
      </w:r>
      <w:proofErr w:type="gramEnd"/>
      <w:r>
        <w:t xml:space="preserve"> politique de veille technologique pour actualiser les mesures mises en œuvre ;</w:t>
      </w:r>
    </w:p>
    <w:p w:rsidR="000F28F8" w:rsidRDefault="000F28F8" w:rsidP="00752332">
      <w:pPr>
        <w:numPr>
          <w:ilvl w:val="0"/>
          <w:numId w:val="29"/>
        </w:numPr>
        <w:spacing w:after="107" w:line="249" w:lineRule="auto"/>
        <w:ind w:hanging="360"/>
        <w:jc w:val="both"/>
      </w:pPr>
      <w:proofErr w:type="gramStart"/>
      <w:r>
        <w:t>une</w:t>
      </w:r>
      <w:proofErr w:type="gramEnd"/>
      <w:r>
        <w:t xml:space="preserve"> sensibilisation des acteurs de l’entreprise. </w:t>
      </w:r>
    </w:p>
    <w:p w:rsidR="000F28F8" w:rsidRDefault="000F28F8" w:rsidP="00752332">
      <w:pPr>
        <w:spacing w:after="111"/>
        <w:ind w:left="14"/>
        <w:jc w:val="both"/>
      </w:pPr>
      <w:r>
        <w:t xml:space="preserve">Chacune de ces solutions a un coût et une efficacité qu’il faut alors évaluer. L’ensemble de ces mesures peuvent être intégrées dans un plan plus large de gestion des risques informatiques (anticipation des risques / évaluation / prévention). </w:t>
      </w:r>
    </w:p>
    <w:bookmarkEnd w:id="0"/>
    <w:p w:rsidR="000F28F8" w:rsidRDefault="000F28F8" w:rsidP="000F28F8">
      <w:pPr>
        <w:spacing w:line="259" w:lineRule="auto"/>
        <w:ind w:left="437"/>
      </w:pPr>
      <w:r>
        <w:t xml:space="preserve"> </w:t>
      </w:r>
    </w:p>
    <w:p w:rsidR="00874575" w:rsidRDefault="00874575" w:rsidP="000F28F8">
      <w:pPr>
        <w:spacing w:after="110"/>
        <w:ind w:left="72" w:hanging="10"/>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0DD" w:rsidRDefault="001950DD" w:rsidP="00481B17">
      <w:r>
        <w:separator/>
      </w:r>
    </w:p>
  </w:endnote>
  <w:endnote w:type="continuationSeparator" w:id="0">
    <w:p w:rsidR="001950DD" w:rsidRDefault="001950DD"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752332">
      <w:rPr>
        <w:caps/>
        <w:noProof/>
        <w:color w:val="5B9BD5" w:themeColor="accent1"/>
      </w:rPr>
      <w:t>3</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0DD" w:rsidRDefault="001950DD" w:rsidP="00481B17">
      <w:r>
        <w:separator/>
      </w:r>
    </w:p>
  </w:footnote>
  <w:footnote w:type="continuationSeparator" w:id="0">
    <w:p w:rsidR="001950DD" w:rsidRDefault="001950DD"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62965"/>
    <w:rsid w:val="000A243C"/>
    <w:rsid w:val="000B5B76"/>
    <w:rsid w:val="000E0F6B"/>
    <w:rsid w:val="000F28F8"/>
    <w:rsid w:val="001246C8"/>
    <w:rsid w:val="00170551"/>
    <w:rsid w:val="001802D5"/>
    <w:rsid w:val="001950DD"/>
    <w:rsid w:val="001B41DC"/>
    <w:rsid w:val="001C692A"/>
    <w:rsid w:val="001E25C0"/>
    <w:rsid w:val="001F1DFF"/>
    <w:rsid w:val="002B0C54"/>
    <w:rsid w:val="002D6ED5"/>
    <w:rsid w:val="002F1B9E"/>
    <w:rsid w:val="003758DE"/>
    <w:rsid w:val="00407241"/>
    <w:rsid w:val="00433B0A"/>
    <w:rsid w:val="004400AC"/>
    <w:rsid w:val="00442A12"/>
    <w:rsid w:val="00464337"/>
    <w:rsid w:val="00481B17"/>
    <w:rsid w:val="004933EF"/>
    <w:rsid w:val="004C1A33"/>
    <w:rsid w:val="004D5CA4"/>
    <w:rsid w:val="00542A92"/>
    <w:rsid w:val="005E70D3"/>
    <w:rsid w:val="00664E13"/>
    <w:rsid w:val="00675C31"/>
    <w:rsid w:val="006A1B52"/>
    <w:rsid w:val="006E27CC"/>
    <w:rsid w:val="007124CF"/>
    <w:rsid w:val="00742BD3"/>
    <w:rsid w:val="00752332"/>
    <w:rsid w:val="00775640"/>
    <w:rsid w:val="007857A4"/>
    <w:rsid w:val="00826D57"/>
    <w:rsid w:val="00864407"/>
    <w:rsid w:val="00874575"/>
    <w:rsid w:val="008B2FAC"/>
    <w:rsid w:val="008E6459"/>
    <w:rsid w:val="00944B25"/>
    <w:rsid w:val="0094728D"/>
    <w:rsid w:val="00997AFB"/>
    <w:rsid w:val="009A3A89"/>
    <w:rsid w:val="00A1397E"/>
    <w:rsid w:val="00A60763"/>
    <w:rsid w:val="00A82A3B"/>
    <w:rsid w:val="00AE20E3"/>
    <w:rsid w:val="00B17CF4"/>
    <w:rsid w:val="00B75DD4"/>
    <w:rsid w:val="00B9572C"/>
    <w:rsid w:val="00BB32F9"/>
    <w:rsid w:val="00C17662"/>
    <w:rsid w:val="00C22154"/>
    <w:rsid w:val="00C5320C"/>
    <w:rsid w:val="00CF5792"/>
    <w:rsid w:val="00D533B0"/>
    <w:rsid w:val="00D9403A"/>
    <w:rsid w:val="00DB6F28"/>
    <w:rsid w:val="00DF03C6"/>
    <w:rsid w:val="00DF496D"/>
    <w:rsid w:val="00DF62EF"/>
    <w:rsid w:val="00E160CE"/>
    <w:rsid w:val="00E56267"/>
    <w:rsid w:val="00E605E3"/>
    <w:rsid w:val="00F22670"/>
    <w:rsid w:val="00F37B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6</cp:revision>
  <dcterms:created xsi:type="dcterms:W3CDTF">2020-12-30T16:47:00Z</dcterms:created>
  <dcterms:modified xsi:type="dcterms:W3CDTF">2020-12-30T16:49:00Z</dcterms:modified>
</cp:coreProperties>
</file>