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43" w:type="dxa"/>
        <w:tblInd w:w="-861" w:type="dxa"/>
        <w:tblCellMar>
          <w:top w:w="148" w:type="dxa"/>
          <w:left w:w="98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6390"/>
      </w:tblGrid>
      <w:tr w:rsidR="0064605B" w:rsidTr="006A1F67">
        <w:trPr>
          <w:trHeight w:val="526"/>
        </w:trPr>
        <w:tc>
          <w:tcPr>
            <w:tcW w:w="10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05B" w:rsidRDefault="004C4E37" w:rsidP="004C4E3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Bloc de compétences 2 :  </w:t>
            </w:r>
            <w:r w:rsidRPr="00483B9E">
              <w:rPr>
                <w:b/>
                <w:sz w:val="24"/>
              </w:rPr>
              <w:t>Participer à la gestion des risques de la PME</w:t>
            </w:r>
            <w:bookmarkStart w:id="0" w:name="_GoBack"/>
            <w:bookmarkEnd w:id="0"/>
          </w:p>
        </w:tc>
      </w:tr>
      <w:tr w:rsidR="0064605B" w:rsidRPr="00301A3A" w:rsidTr="006A1F67">
        <w:trPr>
          <w:trHeight w:val="526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05B" w:rsidRPr="00301A3A" w:rsidRDefault="0064605B" w:rsidP="006A1F67">
            <w:pPr>
              <w:spacing w:after="0" w:line="259" w:lineRule="auto"/>
              <w:ind w:left="0" w:firstLine="0"/>
              <w:jc w:val="left"/>
              <w:rPr>
                <w:b/>
                <w:bCs/>
                <w:sz w:val="28"/>
                <w:szCs w:val="32"/>
              </w:rPr>
            </w:pPr>
            <w:r w:rsidRPr="00301A3A">
              <w:rPr>
                <w:b/>
                <w:bCs/>
                <w:sz w:val="28"/>
                <w:szCs w:val="32"/>
              </w:rPr>
              <w:t xml:space="preserve"> Savoirs associés 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05B" w:rsidRPr="00301A3A" w:rsidRDefault="0064605B" w:rsidP="006A1F67">
            <w:pPr>
              <w:spacing w:after="0" w:line="259" w:lineRule="auto"/>
              <w:ind w:left="0" w:firstLine="0"/>
              <w:jc w:val="left"/>
              <w:rPr>
                <w:b/>
                <w:bCs/>
              </w:rPr>
            </w:pPr>
            <w:r w:rsidRPr="00301A3A">
              <w:rPr>
                <w:b/>
                <w:bCs/>
                <w:sz w:val="24"/>
                <w:szCs w:val="28"/>
              </w:rPr>
              <w:t xml:space="preserve"> Limites des savoirs associés et recommandations pédagogiques </w:t>
            </w:r>
          </w:p>
        </w:tc>
      </w:tr>
      <w:tr w:rsidR="0064605B" w:rsidRPr="00671967" w:rsidTr="006A1F67">
        <w:trPr>
          <w:trHeight w:val="526"/>
        </w:trPr>
        <w:tc>
          <w:tcPr>
            <w:tcW w:w="106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605B" w:rsidRPr="00671967" w:rsidRDefault="00E81E7D" w:rsidP="006A1F67">
            <w:pPr>
              <w:spacing w:after="0" w:line="259" w:lineRule="auto"/>
              <w:ind w:left="0" w:firstLine="0"/>
              <w:jc w:val="center"/>
              <w:rPr>
                <w:b/>
                <w:bCs/>
                <w:color w:val="00B0F0"/>
                <w:sz w:val="24"/>
                <w:szCs w:val="28"/>
              </w:rPr>
            </w:pPr>
            <w:r w:rsidRPr="00E81E7D">
              <w:rPr>
                <w:b/>
                <w:color w:val="00B0F0"/>
                <w:sz w:val="28"/>
                <w:szCs w:val="32"/>
              </w:rPr>
              <w:t>Savoirs 2.1. Conduite d’une veille</w:t>
            </w:r>
          </w:p>
        </w:tc>
      </w:tr>
      <w:tr w:rsidR="0064605B" w:rsidRPr="00301A3A" w:rsidTr="006A1F67">
        <w:trPr>
          <w:trHeight w:val="526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CAD" w:rsidRPr="00141CAD" w:rsidRDefault="00141CAD" w:rsidP="00141CAD">
            <w:pPr>
              <w:spacing w:after="0" w:line="259" w:lineRule="auto"/>
              <w:ind w:left="0" w:firstLine="0"/>
              <w:jc w:val="left"/>
              <w:rPr>
                <w:color w:val="00B0F0"/>
                <w:sz w:val="24"/>
                <w:szCs w:val="28"/>
              </w:rPr>
            </w:pPr>
            <w:r w:rsidRPr="00141CAD">
              <w:rPr>
                <w:b/>
                <w:color w:val="00B0F0"/>
                <w:sz w:val="24"/>
                <w:szCs w:val="28"/>
              </w:rPr>
              <w:t xml:space="preserve">S.2.1.1 Méthodologie de la veille </w:t>
            </w:r>
          </w:p>
          <w:p w:rsidR="00141CAD" w:rsidRPr="00141CAD" w:rsidRDefault="00141CAD" w:rsidP="00141CAD">
            <w:pPr>
              <w:spacing w:after="0" w:line="259" w:lineRule="auto"/>
              <w:ind w:left="0" w:firstLine="0"/>
              <w:jc w:val="left"/>
              <w:rPr>
                <w:sz w:val="24"/>
                <w:szCs w:val="28"/>
              </w:rPr>
            </w:pPr>
            <w:r w:rsidRPr="00141CAD">
              <w:rPr>
                <w:sz w:val="24"/>
                <w:szCs w:val="28"/>
              </w:rPr>
              <w:t xml:space="preserve">-Principes de conduite d’une veille documentaire (recherche d’informations, collecte et normalisation, traitement, classification, indexation et partage) </w:t>
            </w:r>
          </w:p>
          <w:p w:rsidR="00141CAD" w:rsidRPr="00141CAD" w:rsidRDefault="00141CAD" w:rsidP="00141CAD">
            <w:pPr>
              <w:spacing w:after="0" w:line="244" w:lineRule="auto"/>
              <w:ind w:left="0" w:firstLine="0"/>
              <w:jc w:val="left"/>
              <w:rPr>
                <w:sz w:val="24"/>
                <w:szCs w:val="28"/>
              </w:rPr>
            </w:pPr>
            <w:r w:rsidRPr="00141CAD">
              <w:rPr>
                <w:sz w:val="24"/>
                <w:szCs w:val="28"/>
              </w:rPr>
              <w:t>-Réseaux sociaux</w:t>
            </w:r>
          </w:p>
          <w:p w:rsidR="00141CAD" w:rsidRPr="00141CAD" w:rsidRDefault="00141CAD" w:rsidP="00141CAD">
            <w:pPr>
              <w:spacing w:after="0" w:line="244" w:lineRule="auto"/>
              <w:ind w:left="0" w:firstLine="0"/>
              <w:jc w:val="left"/>
              <w:rPr>
                <w:sz w:val="24"/>
                <w:szCs w:val="28"/>
              </w:rPr>
            </w:pPr>
            <w:r w:rsidRPr="00141CAD">
              <w:rPr>
                <w:sz w:val="24"/>
                <w:szCs w:val="28"/>
              </w:rPr>
              <w:t xml:space="preserve">- Flux de syndication de contenus en ligne, agrégateurs de flux, base de connaissances, curation. </w:t>
            </w:r>
          </w:p>
          <w:p w:rsidR="00141CAD" w:rsidRPr="00141CAD" w:rsidRDefault="00141CAD" w:rsidP="00141CAD">
            <w:pPr>
              <w:spacing w:after="0" w:line="244" w:lineRule="auto"/>
              <w:ind w:left="0" w:firstLine="0"/>
              <w:jc w:val="left"/>
              <w:rPr>
                <w:sz w:val="24"/>
                <w:szCs w:val="28"/>
              </w:rPr>
            </w:pPr>
            <w:r w:rsidRPr="00141CAD">
              <w:rPr>
                <w:sz w:val="24"/>
                <w:szCs w:val="28"/>
              </w:rPr>
              <w:t xml:space="preserve">-Évaluation de la </w:t>
            </w:r>
            <w:r w:rsidRPr="00141CAD">
              <w:rPr>
                <w:sz w:val="24"/>
                <w:szCs w:val="28"/>
              </w:rPr>
              <w:tab/>
              <w:t xml:space="preserve">fiabilité </w:t>
            </w:r>
            <w:r w:rsidRPr="00141CAD">
              <w:rPr>
                <w:sz w:val="24"/>
                <w:szCs w:val="28"/>
              </w:rPr>
              <w:tab/>
              <w:t xml:space="preserve">et la pertinence de diverses sources </w:t>
            </w:r>
          </w:p>
          <w:p w:rsidR="00141CAD" w:rsidRPr="00141CAD" w:rsidRDefault="00141CAD" w:rsidP="00141CAD">
            <w:pPr>
              <w:spacing w:after="0" w:line="259" w:lineRule="auto"/>
              <w:ind w:left="0" w:firstLine="0"/>
              <w:jc w:val="left"/>
              <w:rPr>
                <w:sz w:val="24"/>
                <w:szCs w:val="28"/>
              </w:rPr>
            </w:pPr>
            <w:r w:rsidRPr="00141CAD">
              <w:rPr>
                <w:sz w:val="24"/>
                <w:szCs w:val="28"/>
              </w:rPr>
              <w:t xml:space="preserve">-Logiciels de veille et d’intelligence économique </w:t>
            </w:r>
          </w:p>
          <w:p w:rsidR="0064605B" w:rsidRPr="00141CAD" w:rsidRDefault="0064605B" w:rsidP="006A1F67">
            <w:pPr>
              <w:spacing w:after="0" w:line="259" w:lineRule="auto"/>
              <w:ind w:left="0" w:firstLine="0"/>
              <w:jc w:val="left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CAD" w:rsidRDefault="00141CAD" w:rsidP="00141CAD">
            <w:pPr>
              <w:spacing w:after="0" w:line="241" w:lineRule="auto"/>
              <w:ind w:left="0" w:right="42" w:firstLine="0"/>
            </w:pPr>
            <w:r>
              <w:rPr>
                <w:sz w:val="20"/>
              </w:rPr>
              <w:t xml:space="preserve">L’activité de veille est conduite dans le cadre d’activités du référentiel en prenant la forme d’un processus continu et dynamique faisant l’objet d’une mise à disposition personnalisée et périodique de données ou d’informations. Les données seront ainsi traitées selon une finalité propre au destinataire, faisant appel à une expertise en rapport avec le sujet ou la nature de l’information collectée. Les objets de la veille peuvent être divers (concurrentielle et commerciale, réglementaire et juridique, relative à l’image de la </w:t>
            </w:r>
            <w:proofErr w:type="gramStart"/>
            <w:r>
              <w:rPr>
                <w:sz w:val="20"/>
              </w:rPr>
              <w:t>PME, ….</w:t>
            </w:r>
            <w:proofErr w:type="gramEnd"/>
            <w:r>
              <w:rPr>
                <w:sz w:val="20"/>
              </w:rPr>
              <w:t xml:space="preserve">).  Deux méthodes peuvent être envisagées, une méthode dite “pull” avec laquelle le veilleur va rechercher, « tirer » vers lui l’information sur un thème précis et une méthode dite “push” avec laquelle le veilleur reçoit l’information qui est ainsi « poussée » à lui selon des critères préétablis. A partir d’un thème précis, la méthodologie de la veille doit permettre de repérer la fiabilité des sources d’information, les conditions de la traçabilité des documents et des mises à jour ainsi que les modalités de structuration des données. </w:t>
            </w:r>
          </w:p>
          <w:p w:rsidR="0064605B" w:rsidRPr="00301A3A" w:rsidRDefault="0064605B" w:rsidP="0032179F">
            <w:pPr>
              <w:spacing w:after="0" w:line="241" w:lineRule="auto"/>
              <w:ind w:left="0" w:right="46" w:firstLine="0"/>
              <w:rPr>
                <w:b/>
                <w:bCs/>
                <w:sz w:val="24"/>
                <w:szCs w:val="28"/>
              </w:rPr>
            </w:pPr>
          </w:p>
        </w:tc>
      </w:tr>
      <w:tr w:rsidR="0064605B" w:rsidTr="006A1F67">
        <w:trPr>
          <w:trHeight w:val="526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CAD" w:rsidRPr="00141CAD" w:rsidRDefault="00141CAD" w:rsidP="00141CAD">
            <w:pPr>
              <w:spacing w:after="0" w:line="242" w:lineRule="auto"/>
              <w:ind w:left="0" w:firstLine="0"/>
              <w:jc w:val="left"/>
              <w:rPr>
                <w:color w:val="00B0F0"/>
                <w:sz w:val="24"/>
                <w:szCs w:val="28"/>
              </w:rPr>
            </w:pPr>
            <w:r w:rsidRPr="00141CAD">
              <w:rPr>
                <w:b/>
                <w:color w:val="00B0F0"/>
                <w:sz w:val="24"/>
                <w:szCs w:val="28"/>
              </w:rPr>
              <w:t xml:space="preserve">S.2.1.2 Droit de la propriété intellectuelle </w:t>
            </w:r>
          </w:p>
          <w:p w:rsidR="00141CAD" w:rsidRPr="00141CAD" w:rsidRDefault="00141CAD" w:rsidP="00141CAD">
            <w:pPr>
              <w:spacing w:after="0" w:line="259" w:lineRule="auto"/>
              <w:ind w:left="0" w:firstLine="0"/>
              <w:jc w:val="left"/>
              <w:rPr>
                <w:sz w:val="24"/>
                <w:szCs w:val="28"/>
              </w:rPr>
            </w:pPr>
            <w:r w:rsidRPr="00141CAD">
              <w:rPr>
                <w:sz w:val="24"/>
                <w:szCs w:val="28"/>
              </w:rPr>
              <w:t xml:space="preserve">-Définition et enjeux </w:t>
            </w:r>
          </w:p>
          <w:p w:rsidR="00141CAD" w:rsidRPr="00141CAD" w:rsidRDefault="00141CAD" w:rsidP="00141CAD">
            <w:pPr>
              <w:spacing w:after="0" w:line="242" w:lineRule="auto"/>
              <w:ind w:left="0" w:firstLine="0"/>
              <w:rPr>
                <w:sz w:val="24"/>
                <w:szCs w:val="28"/>
              </w:rPr>
            </w:pPr>
            <w:r w:rsidRPr="00141CAD">
              <w:rPr>
                <w:sz w:val="24"/>
                <w:szCs w:val="28"/>
              </w:rPr>
              <w:t xml:space="preserve">-Droit d’auteur et le numérique, principes généraux des droits d’auteur </w:t>
            </w:r>
            <w:r w:rsidRPr="00141CAD">
              <w:rPr>
                <w:color w:val="1155CC"/>
                <w:sz w:val="24"/>
                <w:szCs w:val="28"/>
              </w:rPr>
              <w:t xml:space="preserve"> </w:t>
            </w:r>
          </w:p>
          <w:p w:rsidR="0064605B" w:rsidRPr="00141CAD" w:rsidRDefault="00141CAD" w:rsidP="00141CAD">
            <w:pPr>
              <w:spacing w:after="0" w:line="242" w:lineRule="auto"/>
              <w:ind w:left="0" w:firstLine="0"/>
              <w:jc w:val="left"/>
              <w:rPr>
                <w:b/>
                <w:sz w:val="24"/>
                <w:szCs w:val="28"/>
              </w:rPr>
            </w:pPr>
            <w:r w:rsidRPr="00141CAD">
              <w:rPr>
                <w:sz w:val="24"/>
                <w:szCs w:val="28"/>
              </w:rPr>
              <w:t>- Moyens de protection</w:t>
            </w:r>
          </w:p>
        </w:tc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1CAD" w:rsidRDefault="00141CAD" w:rsidP="00141CAD">
            <w:pPr>
              <w:spacing w:after="0" w:line="241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La conduite de la veille aborde également des aspects liés au droit de la propriété intellectuelle et aux conditions d’utilisation de ressources accessibles par voie numérique. </w:t>
            </w:r>
          </w:p>
          <w:p w:rsidR="00141CAD" w:rsidRDefault="00141CAD" w:rsidP="006A1F67">
            <w:pPr>
              <w:spacing w:after="0" w:line="241" w:lineRule="auto"/>
              <w:ind w:left="0" w:firstLine="0"/>
              <w:jc w:val="left"/>
              <w:rPr>
                <w:sz w:val="20"/>
              </w:rPr>
            </w:pPr>
          </w:p>
          <w:p w:rsidR="0064605B" w:rsidRPr="00141CAD" w:rsidRDefault="00141CAD" w:rsidP="00141CAD">
            <w:pPr>
              <w:spacing w:after="0" w:line="241" w:lineRule="auto"/>
              <w:ind w:left="0" w:firstLine="0"/>
              <w:rPr>
                <w:b/>
                <w:bCs/>
                <w:sz w:val="20"/>
              </w:rPr>
            </w:pPr>
            <w:r w:rsidRPr="00141CAD">
              <w:rPr>
                <w:b/>
                <w:bCs/>
                <w:sz w:val="24"/>
                <w:szCs w:val="28"/>
                <w:u w:val="single" w:color="000000"/>
              </w:rPr>
              <w:t>Cet aspect est à travailler en relation avec le</w:t>
            </w:r>
            <w:r w:rsidRPr="00141CAD">
              <w:rPr>
                <w:b/>
                <w:bCs/>
                <w:sz w:val="24"/>
                <w:szCs w:val="28"/>
              </w:rPr>
              <w:t xml:space="preserve"> </w:t>
            </w:r>
            <w:r w:rsidRPr="00141CAD">
              <w:rPr>
                <w:b/>
                <w:bCs/>
                <w:sz w:val="24"/>
                <w:szCs w:val="28"/>
                <w:u w:val="single" w:color="000000"/>
              </w:rPr>
              <w:t>programme de CEJM (thème 4). Des approfondissements peuvent être</w:t>
            </w:r>
            <w:r w:rsidRPr="00141CAD">
              <w:rPr>
                <w:b/>
                <w:bCs/>
                <w:sz w:val="24"/>
                <w:szCs w:val="28"/>
              </w:rPr>
              <w:t xml:space="preserve"> </w:t>
            </w:r>
            <w:r w:rsidRPr="00141CAD">
              <w:rPr>
                <w:b/>
                <w:bCs/>
                <w:sz w:val="24"/>
                <w:szCs w:val="28"/>
                <w:u w:val="single" w:color="000000"/>
              </w:rPr>
              <w:t>apportés dans le cadre des heures de CEJM appliquée</w:t>
            </w:r>
          </w:p>
        </w:tc>
      </w:tr>
    </w:tbl>
    <w:p w:rsidR="00442A12" w:rsidRDefault="00442A12"/>
    <w:sectPr w:rsidR="0044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2723F"/>
    <w:multiLevelType w:val="hybridMultilevel"/>
    <w:tmpl w:val="35F8BA6E"/>
    <w:lvl w:ilvl="0" w:tplc="83D2A27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46B654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2E4D20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3ECE90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ACC8F2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448646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12C25A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14CD36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70390C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9A2A89"/>
    <w:multiLevelType w:val="hybridMultilevel"/>
    <w:tmpl w:val="0EBEEF9E"/>
    <w:lvl w:ilvl="0" w:tplc="14BCC75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32E396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36396E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6E11C6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044864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C84262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FC4780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D02C4A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1400AC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FEA1582"/>
    <w:multiLevelType w:val="hybridMultilevel"/>
    <w:tmpl w:val="BD4470FE"/>
    <w:lvl w:ilvl="0" w:tplc="5816BFC0">
      <w:start w:val="1"/>
      <w:numFmt w:val="bullet"/>
      <w:lvlText w:val="-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484C46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8A0F82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2473CC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F8DC10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00AFC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ACF606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5CF12C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A05D02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5B"/>
    <w:rsid w:val="00141CAD"/>
    <w:rsid w:val="001F3B14"/>
    <w:rsid w:val="0032179F"/>
    <w:rsid w:val="00442A12"/>
    <w:rsid w:val="004C4E37"/>
    <w:rsid w:val="0064605B"/>
    <w:rsid w:val="00AF1575"/>
    <w:rsid w:val="00E8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1BF5"/>
  <w15:chartTrackingRefBased/>
  <w15:docId w15:val="{9CFF9F68-82EA-4193-8E86-10CFBE39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05B"/>
    <w:pPr>
      <w:spacing w:after="5" w:line="269" w:lineRule="auto"/>
      <w:ind w:left="10" w:hanging="10"/>
      <w:jc w:val="both"/>
    </w:pPr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rsid w:val="0064605B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4</cp:revision>
  <dcterms:created xsi:type="dcterms:W3CDTF">2021-02-12T16:00:00Z</dcterms:created>
  <dcterms:modified xsi:type="dcterms:W3CDTF">2021-02-12T16:36:00Z</dcterms:modified>
</cp:coreProperties>
</file>