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64605B" w:rsidP="00483B9E">
            <w:pPr>
              <w:spacing w:after="0" w:line="259" w:lineRule="auto"/>
              <w:ind w:left="0" w:firstLine="0"/>
              <w:jc w:val="left"/>
            </w:pPr>
            <w:r>
              <w:rPr>
                <w:b/>
                <w:sz w:val="24"/>
              </w:rPr>
              <w:t xml:space="preserve">Bloc de compétences </w:t>
            </w:r>
            <w:r w:rsidR="00483B9E">
              <w:rPr>
                <w:b/>
                <w:sz w:val="24"/>
              </w:rPr>
              <w:t xml:space="preserve">2 : </w:t>
            </w:r>
            <w:r>
              <w:rPr>
                <w:b/>
                <w:sz w:val="24"/>
              </w:rPr>
              <w:t xml:space="preserve"> </w:t>
            </w:r>
            <w:r w:rsidR="00483B9E" w:rsidRPr="00483B9E">
              <w:rPr>
                <w:b/>
                <w:sz w:val="24"/>
              </w:rPr>
              <w:t>Participer à la gestion des risques de la PME</w:t>
            </w:r>
            <w:bookmarkStart w:id="0" w:name="_GoBack"/>
            <w:bookmarkEnd w:id="0"/>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5F135D" w:rsidP="008A4F2B">
            <w:pPr>
              <w:spacing w:after="0" w:line="259" w:lineRule="auto"/>
              <w:ind w:left="0" w:firstLine="0"/>
              <w:jc w:val="center"/>
              <w:rPr>
                <w:b/>
                <w:bCs/>
                <w:color w:val="00B0F0"/>
                <w:sz w:val="24"/>
                <w:szCs w:val="28"/>
              </w:rPr>
            </w:pPr>
            <w:r w:rsidRPr="005F135D">
              <w:rPr>
                <w:b/>
                <w:color w:val="00B0F0"/>
                <w:sz w:val="28"/>
                <w:szCs w:val="32"/>
              </w:rPr>
              <w:t>Savoirs 2.6. Mise en place d’une démarche qualité</w:t>
            </w:r>
          </w:p>
        </w:tc>
      </w:tr>
      <w:tr w:rsidR="008A4F2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834AA" w:rsidRPr="008834AA" w:rsidRDefault="008834AA" w:rsidP="008834AA">
            <w:pPr>
              <w:spacing w:after="0" w:line="259" w:lineRule="auto"/>
              <w:ind w:left="0" w:firstLine="0"/>
              <w:jc w:val="left"/>
              <w:rPr>
                <w:color w:val="00B0F0"/>
                <w:sz w:val="28"/>
                <w:szCs w:val="28"/>
              </w:rPr>
            </w:pPr>
            <w:r w:rsidRPr="008834AA">
              <w:rPr>
                <w:b/>
                <w:color w:val="00B0F0"/>
                <w:sz w:val="24"/>
                <w:szCs w:val="28"/>
              </w:rPr>
              <w:t xml:space="preserve">S 2.6.1 La démarche qualité </w:t>
            </w:r>
          </w:p>
          <w:p w:rsidR="008834AA" w:rsidRPr="008834AA" w:rsidRDefault="008834AA" w:rsidP="008834AA">
            <w:pPr>
              <w:spacing w:after="0" w:line="242" w:lineRule="auto"/>
              <w:ind w:left="0" w:firstLine="0"/>
              <w:jc w:val="left"/>
              <w:rPr>
                <w:sz w:val="28"/>
                <w:szCs w:val="28"/>
              </w:rPr>
            </w:pPr>
            <w:r w:rsidRPr="008834AA">
              <w:rPr>
                <w:sz w:val="24"/>
                <w:szCs w:val="28"/>
              </w:rPr>
              <w:t xml:space="preserve">Objectifs et principes de la qualité totale </w:t>
            </w:r>
          </w:p>
          <w:p w:rsidR="008834AA" w:rsidRPr="008834AA" w:rsidRDefault="008834AA" w:rsidP="008834AA">
            <w:pPr>
              <w:spacing w:after="0" w:line="259" w:lineRule="auto"/>
              <w:ind w:left="0" w:firstLine="0"/>
              <w:jc w:val="left"/>
              <w:rPr>
                <w:sz w:val="28"/>
                <w:szCs w:val="28"/>
              </w:rPr>
            </w:pPr>
            <w:r w:rsidRPr="008834AA">
              <w:rPr>
                <w:sz w:val="24"/>
                <w:szCs w:val="28"/>
              </w:rPr>
              <w:t xml:space="preserve">Outils de la qualité </w:t>
            </w:r>
          </w:p>
          <w:p w:rsidR="008834AA" w:rsidRDefault="008834AA" w:rsidP="008834AA">
            <w:pPr>
              <w:spacing w:after="0" w:line="259" w:lineRule="auto"/>
              <w:ind w:left="0" w:firstLine="0"/>
              <w:jc w:val="left"/>
            </w:pPr>
            <w:r>
              <w:rPr>
                <w:sz w:val="20"/>
              </w:rPr>
              <w:t xml:space="preserve"> </w:t>
            </w:r>
          </w:p>
          <w:p w:rsidR="008A4F2B" w:rsidRPr="008A4F2B" w:rsidRDefault="008A4F2B" w:rsidP="005E31BE">
            <w:pPr>
              <w:spacing w:after="1" w:line="241" w:lineRule="auto"/>
              <w:ind w:left="0" w:right="63"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8834AA" w:rsidRPr="008834AA" w:rsidRDefault="008834AA" w:rsidP="008834AA">
            <w:pPr>
              <w:spacing w:after="1" w:line="240" w:lineRule="auto"/>
              <w:ind w:left="0" w:right="97" w:firstLine="0"/>
              <w:rPr>
                <w:sz w:val="28"/>
                <w:szCs w:val="28"/>
              </w:rPr>
            </w:pPr>
            <w:r w:rsidRPr="008834AA">
              <w:rPr>
                <w:sz w:val="24"/>
                <w:szCs w:val="28"/>
              </w:rPr>
              <w:t xml:space="preserve">La démarche qualité et la gestion des connaissances visent à prévenir, atténuer la prise de risques de la PME en assurant le respect d’un cahier des charges. </w:t>
            </w:r>
          </w:p>
          <w:p w:rsidR="008834AA" w:rsidRPr="008834AA" w:rsidRDefault="008834AA" w:rsidP="008834AA">
            <w:pPr>
              <w:spacing w:after="0" w:line="241" w:lineRule="auto"/>
              <w:ind w:left="0" w:right="99" w:firstLine="0"/>
              <w:rPr>
                <w:sz w:val="28"/>
                <w:szCs w:val="28"/>
              </w:rPr>
            </w:pPr>
            <w:r w:rsidRPr="008834AA">
              <w:rPr>
                <w:sz w:val="24"/>
                <w:szCs w:val="28"/>
              </w:rPr>
              <w:t xml:space="preserve">Il s'agit de souligner le rôle de chaque acteur dans la démarche qualité et de l'appréhender dans toutes ses composantes. La rédaction d'un manuel de qualité est exclue. En revanche, l’étude aborde l'analyse de certains de ses éléments en relation avec le travail administratif. Les principaux outils de la qualité (de collecte, d'analyse, de recherche de solution et de contrôle) sont abordés. L’étude se réfère aux outils qui ont été étudiés dans le cadre de la résolution de problème. </w:t>
            </w:r>
          </w:p>
          <w:p w:rsidR="008A4F2B" w:rsidRPr="00301A3A" w:rsidRDefault="008A4F2B" w:rsidP="009D4BD9">
            <w:pPr>
              <w:spacing w:after="0" w:line="241" w:lineRule="auto"/>
              <w:ind w:left="0" w:right="46" w:firstLine="0"/>
              <w:rPr>
                <w:b/>
                <w:bCs/>
                <w:sz w:val="24"/>
                <w:szCs w:val="28"/>
              </w:rPr>
            </w:pPr>
          </w:p>
        </w:tc>
      </w:tr>
      <w:tr w:rsidR="008A4F2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834AA" w:rsidRPr="008834AA" w:rsidRDefault="008834AA" w:rsidP="008834AA">
            <w:pPr>
              <w:spacing w:after="1" w:line="241" w:lineRule="auto"/>
              <w:ind w:left="0" w:right="359" w:firstLine="0"/>
              <w:jc w:val="left"/>
              <w:rPr>
                <w:sz w:val="24"/>
                <w:szCs w:val="28"/>
              </w:rPr>
            </w:pPr>
            <w:r w:rsidRPr="008834AA">
              <w:rPr>
                <w:b/>
                <w:color w:val="00B0F0"/>
                <w:sz w:val="24"/>
                <w:szCs w:val="28"/>
              </w:rPr>
              <w:t xml:space="preserve">S 2.6.2 La gestion des connaissances </w:t>
            </w:r>
            <w:r w:rsidRPr="008834AA">
              <w:rPr>
                <w:sz w:val="24"/>
                <w:szCs w:val="28"/>
              </w:rPr>
              <w:t>- Définitions, enjeux et outils de la gestion des connaissances</w:t>
            </w:r>
          </w:p>
          <w:p w:rsidR="008834AA" w:rsidRPr="008834AA" w:rsidRDefault="008834AA" w:rsidP="008834AA">
            <w:pPr>
              <w:spacing w:after="1" w:line="241" w:lineRule="auto"/>
              <w:ind w:left="0" w:right="359" w:firstLine="0"/>
              <w:jc w:val="left"/>
              <w:rPr>
                <w:sz w:val="28"/>
                <w:szCs w:val="28"/>
              </w:rPr>
            </w:pPr>
            <w:r w:rsidRPr="008834AA">
              <w:rPr>
                <w:sz w:val="24"/>
                <w:szCs w:val="28"/>
              </w:rPr>
              <w:t xml:space="preserve">- Modalités de préservation, d’enrichissement et de transfert des connaissances (capitalisation et partage) </w:t>
            </w:r>
          </w:p>
          <w:p w:rsidR="008A4F2B" w:rsidRPr="008A4F2B" w:rsidRDefault="008A4F2B" w:rsidP="008A4F2B">
            <w:pPr>
              <w:spacing w:after="1" w:line="241" w:lineRule="auto"/>
              <w:ind w:left="0" w:right="48" w:firstLine="0"/>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8834AA" w:rsidRPr="008834AA" w:rsidRDefault="008834AA" w:rsidP="008834AA">
            <w:pPr>
              <w:spacing w:after="0" w:line="241" w:lineRule="auto"/>
              <w:ind w:left="0" w:right="95" w:firstLine="0"/>
              <w:rPr>
                <w:sz w:val="28"/>
                <w:szCs w:val="28"/>
              </w:rPr>
            </w:pPr>
            <w:r w:rsidRPr="008834AA">
              <w:rPr>
                <w:sz w:val="24"/>
                <w:szCs w:val="28"/>
              </w:rPr>
              <w:t xml:space="preserve">Les objectifs et les composantes de la gestion des connaissances sont essentiels pour en comprendre les enjeux. Les notions d'information, de connaissance implicite ou explicite, de savoir-faire, d'expérience sont distinguées en s'appuyant sur quelques exemples concrets applicables en PME. L’objectif de l’étude est de sensibiliser les étudiants à la nécessité d’installer des modalités de mutualisation de partage et de transfert des bonnes pratiques et des informations. Sans entrer dans une théorisation excessive, l'étude, par exemple, des matrices de </w:t>
            </w:r>
            <w:proofErr w:type="spellStart"/>
            <w:r w:rsidRPr="008834AA">
              <w:rPr>
                <w:sz w:val="24"/>
                <w:szCs w:val="28"/>
              </w:rPr>
              <w:t>Nonaka</w:t>
            </w:r>
            <w:proofErr w:type="spellEnd"/>
            <w:r w:rsidRPr="008834AA">
              <w:rPr>
                <w:sz w:val="24"/>
                <w:szCs w:val="28"/>
              </w:rPr>
              <w:t xml:space="preserve"> et </w:t>
            </w:r>
            <w:proofErr w:type="spellStart"/>
            <w:r w:rsidRPr="008834AA">
              <w:rPr>
                <w:sz w:val="24"/>
                <w:szCs w:val="28"/>
              </w:rPr>
              <w:t>Takeuchi</w:t>
            </w:r>
            <w:proofErr w:type="spellEnd"/>
            <w:r w:rsidRPr="008834AA">
              <w:rPr>
                <w:sz w:val="24"/>
                <w:szCs w:val="28"/>
              </w:rPr>
              <w:t xml:space="preserve"> peut être abordée en s'appuyant sur quelques situations concrètes observées en PME. Les enjeux en termes d’avantages concurrentiels, mais également humains et financiers sont explicités. L'apport des outils de GED, du travail collaboratif et des technologies de l'Internet est souligné. </w:t>
            </w:r>
          </w:p>
          <w:p w:rsidR="008A4F2B" w:rsidRPr="008A4F2B" w:rsidRDefault="008A4F2B" w:rsidP="008A4F2B">
            <w:pPr>
              <w:spacing w:after="1" w:line="241" w:lineRule="auto"/>
              <w:ind w:left="0" w:right="47" w:firstLine="0"/>
              <w:rPr>
                <w:sz w:val="24"/>
                <w:szCs w:val="28"/>
              </w:rPr>
            </w:pPr>
          </w:p>
        </w:tc>
      </w:tr>
      <w:tr w:rsidR="005E31BE"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8834AA" w:rsidRPr="008834AA" w:rsidRDefault="008834AA" w:rsidP="008834AA">
            <w:pPr>
              <w:spacing w:after="0" w:line="259" w:lineRule="auto"/>
              <w:ind w:left="0" w:firstLine="0"/>
              <w:jc w:val="left"/>
              <w:rPr>
                <w:sz w:val="28"/>
                <w:szCs w:val="28"/>
              </w:rPr>
            </w:pPr>
            <w:r w:rsidRPr="008834AA">
              <w:rPr>
                <w:b/>
                <w:color w:val="00B0F0"/>
                <w:sz w:val="24"/>
                <w:szCs w:val="28"/>
              </w:rPr>
              <w:t xml:space="preserve">S 2.6.3 Les normes et la certification </w:t>
            </w:r>
          </w:p>
          <w:p w:rsidR="008834AA" w:rsidRPr="008834AA" w:rsidRDefault="008834AA" w:rsidP="008834AA">
            <w:pPr>
              <w:numPr>
                <w:ilvl w:val="0"/>
                <w:numId w:val="11"/>
              </w:numPr>
              <w:spacing w:after="0" w:line="242" w:lineRule="auto"/>
              <w:ind w:firstLine="0"/>
              <w:jc w:val="left"/>
              <w:rPr>
                <w:sz w:val="28"/>
                <w:szCs w:val="28"/>
              </w:rPr>
            </w:pPr>
            <w:r w:rsidRPr="008834AA">
              <w:rPr>
                <w:sz w:val="24"/>
                <w:szCs w:val="28"/>
              </w:rPr>
              <w:t xml:space="preserve">Rôle des organismes de certification </w:t>
            </w:r>
          </w:p>
          <w:p w:rsidR="008834AA" w:rsidRPr="008834AA" w:rsidRDefault="008834AA" w:rsidP="00292619">
            <w:pPr>
              <w:numPr>
                <w:ilvl w:val="0"/>
                <w:numId w:val="11"/>
              </w:numPr>
              <w:spacing w:after="0" w:line="259" w:lineRule="auto"/>
              <w:ind w:firstLine="0"/>
              <w:jc w:val="left"/>
              <w:rPr>
                <w:sz w:val="28"/>
                <w:szCs w:val="28"/>
              </w:rPr>
            </w:pPr>
            <w:r w:rsidRPr="008834AA">
              <w:rPr>
                <w:sz w:val="24"/>
                <w:szCs w:val="28"/>
              </w:rPr>
              <w:t xml:space="preserve"> Types de normes et certifications adaptées à la PME </w:t>
            </w:r>
          </w:p>
          <w:p w:rsidR="008834AA" w:rsidRPr="008834AA" w:rsidRDefault="008834AA" w:rsidP="008834AA">
            <w:pPr>
              <w:numPr>
                <w:ilvl w:val="0"/>
                <w:numId w:val="11"/>
              </w:numPr>
              <w:spacing w:after="0" w:line="259" w:lineRule="auto"/>
              <w:ind w:firstLine="0"/>
              <w:jc w:val="left"/>
              <w:rPr>
                <w:sz w:val="28"/>
                <w:szCs w:val="28"/>
              </w:rPr>
            </w:pPr>
            <w:r w:rsidRPr="008834AA">
              <w:rPr>
                <w:sz w:val="24"/>
                <w:szCs w:val="28"/>
              </w:rPr>
              <w:t xml:space="preserve">Étapes de la démarche de certification </w:t>
            </w:r>
          </w:p>
          <w:p w:rsidR="008834AA" w:rsidRPr="008834AA" w:rsidRDefault="008834AA" w:rsidP="008834AA">
            <w:pPr>
              <w:numPr>
                <w:ilvl w:val="0"/>
                <w:numId w:val="11"/>
              </w:numPr>
              <w:spacing w:after="0" w:line="259" w:lineRule="auto"/>
              <w:ind w:firstLine="0"/>
              <w:jc w:val="left"/>
              <w:rPr>
                <w:sz w:val="28"/>
                <w:szCs w:val="28"/>
              </w:rPr>
            </w:pPr>
            <w:r w:rsidRPr="008834AA">
              <w:rPr>
                <w:sz w:val="24"/>
                <w:szCs w:val="28"/>
              </w:rPr>
              <w:t xml:space="preserve">Atouts et limites de la certification </w:t>
            </w:r>
          </w:p>
          <w:p w:rsidR="005E31BE" w:rsidRPr="005E31BE" w:rsidRDefault="008834AA" w:rsidP="008834AA">
            <w:pPr>
              <w:spacing w:after="1" w:line="241" w:lineRule="auto"/>
              <w:ind w:left="0" w:right="48" w:firstLine="0"/>
              <w:rPr>
                <w:b/>
                <w:color w:val="00B0F0"/>
                <w:sz w:val="24"/>
                <w:szCs w:val="28"/>
              </w:rPr>
            </w:pPr>
            <w:r w:rsidRPr="008834AA">
              <w:rPr>
                <w:sz w:val="24"/>
                <w:szCs w:val="28"/>
              </w:rPr>
              <w:t>Coût de la certification</w:t>
            </w:r>
          </w:p>
        </w:tc>
        <w:tc>
          <w:tcPr>
            <w:tcW w:w="6390" w:type="dxa"/>
            <w:tcBorders>
              <w:top w:val="single" w:sz="8" w:space="0" w:color="000000"/>
              <w:left w:val="single" w:sz="8" w:space="0" w:color="000000"/>
              <w:bottom w:val="single" w:sz="8" w:space="0" w:color="000000"/>
              <w:right w:val="single" w:sz="8" w:space="0" w:color="000000"/>
            </w:tcBorders>
            <w:vAlign w:val="center"/>
          </w:tcPr>
          <w:p w:rsidR="008834AA" w:rsidRPr="008834AA" w:rsidRDefault="008834AA" w:rsidP="0035146E">
            <w:pPr>
              <w:spacing w:after="1" w:line="241" w:lineRule="auto"/>
              <w:ind w:left="0" w:right="42" w:firstLine="0"/>
              <w:rPr>
                <w:sz w:val="24"/>
                <w:szCs w:val="28"/>
              </w:rPr>
            </w:pPr>
            <w:r w:rsidRPr="008834AA">
              <w:rPr>
                <w:sz w:val="24"/>
                <w:szCs w:val="28"/>
              </w:rPr>
              <w:t xml:space="preserve">La certification est une démarche qui peut être lourde pour une PME, mais elle </w:t>
            </w:r>
            <w:proofErr w:type="gramStart"/>
            <w:r w:rsidRPr="008834AA">
              <w:rPr>
                <w:sz w:val="24"/>
                <w:szCs w:val="28"/>
              </w:rPr>
              <w:t>constitue  un</w:t>
            </w:r>
            <w:proofErr w:type="gramEnd"/>
            <w:r w:rsidRPr="008834AA">
              <w:rPr>
                <w:sz w:val="24"/>
                <w:szCs w:val="28"/>
              </w:rPr>
              <w:t xml:space="preserve"> moyen d'être reconnu sur le marché et d’améliorer son image et finalement son avantage concurrentiel. Elle constitue aussi parfois une barrière à l’entrée sur certain marché. Il convient d'insister sur l'aspect administratif des démarches de certification dont le titulaire du diplôme sera chargé, l'aspect technique n'étant pas de son ressort. Les principaux organismes de certification sont identifiés ainsi que leur rôle et les différents niveaux de normes. </w:t>
            </w:r>
            <w:r w:rsidRPr="008834AA">
              <w:rPr>
                <w:sz w:val="24"/>
                <w:szCs w:val="28"/>
              </w:rPr>
              <w:lastRenderedPageBreak/>
              <w:t xml:space="preserve">Les avantages mais aussi les inconvénients qu'une PME peut retirer d'une certification sont mis en évidence. </w:t>
            </w:r>
          </w:p>
          <w:p w:rsidR="005E31BE" w:rsidRPr="008834AA" w:rsidRDefault="008834AA" w:rsidP="0035146E">
            <w:pPr>
              <w:spacing w:after="1" w:line="241" w:lineRule="auto"/>
              <w:ind w:left="0" w:right="42" w:firstLine="0"/>
              <w:rPr>
                <w:b/>
                <w:bCs/>
                <w:sz w:val="24"/>
                <w:szCs w:val="28"/>
              </w:rPr>
            </w:pPr>
            <w:r w:rsidRPr="008834AA">
              <w:rPr>
                <w:b/>
                <w:bCs/>
                <w:sz w:val="24"/>
                <w:szCs w:val="28"/>
                <w:u w:val="single" w:color="000000"/>
              </w:rPr>
              <w:t>Cet aspect est à</w:t>
            </w:r>
            <w:r w:rsidRPr="008834AA">
              <w:rPr>
                <w:b/>
                <w:bCs/>
                <w:sz w:val="24"/>
                <w:szCs w:val="28"/>
              </w:rPr>
              <w:t xml:space="preserve"> </w:t>
            </w:r>
            <w:r w:rsidRPr="008834AA">
              <w:rPr>
                <w:b/>
                <w:bCs/>
                <w:sz w:val="24"/>
                <w:szCs w:val="28"/>
                <w:u w:val="single" w:color="000000"/>
              </w:rPr>
              <w:t>travailler en relation avec le programme de CEJM (thème 3). Les</w:t>
            </w:r>
            <w:r w:rsidRPr="008834AA">
              <w:rPr>
                <w:b/>
                <w:bCs/>
                <w:sz w:val="24"/>
                <w:szCs w:val="28"/>
              </w:rPr>
              <w:t xml:space="preserve"> </w:t>
            </w:r>
            <w:r w:rsidRPr="008834AA">
              <w:rPr>
                <w:b/>
                <w:bCs/>
                <w:sz w:val="24"/>
                <w:szCs w:val="28"/>
                <w:u w:val="single" w:color="000000"/>
              </w:rPr>
              <w:t>approfondissements peuvent être apportés dans le cadre des heures de</w:t>
            </w:r>
            <w:r w:rsidRPr="008834AA">
              <w:rPr>
                <w:b/>
                <w:bCs/>
                <w:sz w:val="24"/>
                <w:szCs w:val="28"/>
              </w:rPr>
              <w:t xml:space="preserve"> </w:t>
            </w:r>
            <w:r w:rsidRPr="008834AA">
              <w:rPr>
                <w:b/>
                <w:bCs/>
                <w:sz w:val="24"/>
                <w:szCs w:val="28"/>
                <w:u w:val="single" w:color="000000"/>
              </w:rPr>
              <w:t>CEJM appliquée</w:t>
            </w:r>
          </w:p>
        </w:tc>
      </w:tr>
    </w:tbl>
    <w:p w:rsidR="005E31BE" w:rsidRDefault="005E31BE"/>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A0A"/>
    <w:multiLevelType w:val="hybridMultilevel"/>
    <w:tmpl w:val="671C0D7E"/>
    <w:lvl w:ilvl="0" w:tplc="E97498B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3838DE">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060E3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CEA2E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222DA">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A6D4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24F85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E81E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E9FF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6C5B3C"/>
    <w:multiLevelType w:val="hybridMultilevel"/>
    <w:tmpl w:val="A41C2F56"/>
    <w:lvl w:ilvl="0" w:tplc="4606C8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E527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BE895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096D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906E26">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866DC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8DCB4">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F6D7D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8ABB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F20A5"/>
    <w:multiLevelType w:val="hybridMultilevel"/>
    <w:tmpl w:val="21528D48"/>
    <w:lvl w:ilvl="0" w:tplc="ADCE38F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5C08F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8A97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487918">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5A6108">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8695B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BA772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87F62">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AE008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3906A2"/>
    <w:multiLevelType w:val="hybridMultilevel"/>
    <w:tmpl w:val="2FECFDFC"/>
    <w:lvl w:ilvl="0" w:tplc="464E729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FC599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E333C">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62C754">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6769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04F3D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2C7B4">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CAEF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A0FB3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E00B8C"/>
    <w:multiLevelType w:val="hybridMultilevel"/>
    <w:tmpl w:val="36968E8A"/>
    <w:lvl w:ilvl="0" w:tplc="ABF0C6E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6BEF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18BB58">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FAB62E">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0B40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200DA">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21D3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CAEC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A02E5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DD6565"/>
    <w:multiLevelType w:val="hybridMultilevel"/>
    <w:tmpl w:val="44EC9C28"/>
    <w:lvl w:ilvl="0" w:tplc="26AC0D50">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007BD8">
      <w:start w:val="1"/>
      <w:numFmt w:val="bullet"/>
      <w:lvlText w:val="o"/>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1223BA">
      <w:start w:val="1"/>
      <w:numFmt w:val="bullet"/>
      <w:lvlText w:val="▪"/>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D200AC">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0D666">
      <w:start w:val="1"/>
      <w:numFmt w:val="bullet"/>
      <w:lvlText w:val="o"/>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E49D64">
      <w:start w:val="1"/>
      <w:numFmt w:val="bullet"/>
      <w:lvlText w:val="▪"/>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02A736">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A4B34">
      <w:start w:val="1"/>
      <w:numFmt w:val="bullet"/>
      <w:lvlText w:val="o"/>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9246C2">
      <w:start w:val="1"/>
      <w:numFmt w:val="bullet"/>
      <w:lvlText w:val="▪"/>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3A38A7"/>
    <w:multiLevelType w:val="hybridMultilevel"/>
    <w:tmpl w:val="4ACA8DFC"/>
    <w:lvl w:ilvl="0" w:tplc="9F7013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A286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6237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ABD5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B86D06">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A55A0">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D281B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903EFE">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1258D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3C2B6C"/>
    <w:multiLevelType w:val="hybridMultilevel"/>
    <w:tmpl w:val="FFC6EC7C"/>
    <w:lvl w:ilvl="0" w:tplc="CE3C6A7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BA70E2">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7CC23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EF7B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43AD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B4652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6D2">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188F4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456B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
  </w:num>
  <w:num w:numId="3">
    <w:abstractNumId w:val="8"/>
  </w:num>
  <w:num w:numId="4">
    <w:abstractNumId w:val="5"/>
  </w:num>
  <w:num w:numId="5">
    <w:abstractNumId w:val="2"/>
  </w:num>
  <w:num w:numId="6">
    <w:abstractNumId w:val="9"/>
  </w:num>
  <w:num w:numId="7">
    <w:abstractNumId w:val="0"/>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0163AB"/>
    <w:rsid w:val="00141CAD"/>
    <w:rsid w:val="001A3513"/>
    <w:rsid w:val="001F3B14"/>
    <w:rsid w:val="0032179F"/>
    <w:rsid w:val="00341721"/>
    <w:rsid w:val="0035146E"/>
    <w:rsid w:val="00377901"/>
    <w:rsid w:val="00442A12"/>
    <w:rsid w:val="00483B9E"/>
    <w:rsid w:val="005E31BE"/>
    <w:rsid w:val="005F135D"/>
    <w:rsid w:val="0064605B"/>
    <w:rsid w:val="006C0A5E"/>
    <w:rsid w:val="00872421"/>
    <w:rsid w:val="008834AA"/>
    <w:rsid w:val="00886464"/>
    <w:rsid w:val="008A4F2B"/>
    <w:rsid w:val="008B0A20"/>
    <w:rsid w:val="009D4BD9"/>
    <w:rsid w:val="00AF1575"/>
    <w:rsid w:val="00BB0D96"/>
    <w:rsid w:val="00DE5B1E"/>
    <w:rsid w:val="00E5622F"/>
    <w:rsid w:val="00E81E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86D"/>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5</cp:revision>
  <dcterms:created xsi:type="dcterms:W3CDTF">2021-02-12T16:31:00Z</dcterms:created>
  <dcterms:modified xsi:type="dcterms:W3CDTF">2021-02-12T16:35:00Z</dcterms:modified>
</cp:coreProperties>
</file>