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right w:w="57" w:type="dxa"/>
        </w:tblCellMar>
        <w:tblLook w:val="04A0" w:firstRow="1" w:lastRow="0" w:firstColumn="1" w:lastColumn="0" w:noHBand="0" w:noVBand="1"/>
      </w:tblPr>
      <w:tblGrid>
        <w:gridCol w:w="4253"/>
        <w:gridCol w:w="6390"/>
      </w:tblGrid>
      <w:tr w:rsidR="0064605B"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Default="00FE2001" w:rsidP="004C4E37">
            <w:pPr>
              <w:spacing w:after="0" w:line="259" w:lineRule="auto"/>
              <w:ind w:left="0" w:firstLine="0"/>
              <w:jc w:val="left"/>
            </w:pPr>
            <w:r>
              <w:rPr>
                <w:b/>
                <w:sz w:val="24"/>
              </w:rPr>
              <w:t>Bloc de compétences 3</w:t>
            </w:r>
            <w:r>
              <w:rPr>
                <w:rFonts w:ascii="Arial" w:eastAsia="Arial" w:hAnsi="Arial" w:cs="Arial"/>
                <w:b/>
                <w:sz w:val="24"/>
              </w:rPr>
              <w:t xml:space="preserve"> </w:t>
            </w:r>
            <w:r>
              <w:rPr>
                <w:b/>
                <w:sz w:val="24"/>
              </w:rPr>
              <w:t>: G</w:t>
            </w:r>
            <w:r>
              <w:rPr>
                <w:b/>
                <w:sz w:val="24"/>
              </w:rPr>
              <w:t>érer le personnel et participer à la gestion des ressources humaines de la PME</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64605B" w:rsidRPr="00301A3A" w:rsidRDefault="0064605B"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64605B" w:rsidRPr="00671967"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64605B" w:rsidRPr="00671967" w:rsidRDefault="00E81E7D" w:rsidP="006A1F67">
            <w:pPr>
              <w:spacing w:after="0" w:line="259" w:lineRule="auto"/>
              <w:ind w:left="0" w:firstLine="0"/>
              <w:jc w:val="center"/>
              <w:rPr>
                <w:b/>
                <w:bCs/>
                <w:color w:val="00B0F0"/>
                <w:sz w:val="24"/>
                <w:szCs w:val="28"/>
              </w:rPr>
            </w:pPr>
            <w:r w:rsidRPr="00E81E7D">
              <w:rPr>
                <w:b/>
                <w:color w:val="00B0F0"/>
                <w:sz w:val="28"/>
                <w:szCs w:val="32"/>
              </w:rPr>
              <w:t xml:space="preserve">Savoirs </w:t>
            </w:r>
            <w:r w:rsidR="005E2D42" w:rsidRPr="005E2D42">
              <w:rPr>
                <w:b/>
                <w:color w:val="00B0F0"/>
                <w:sz w:val="28"/>
                <w:szCs w:val="32"/>
              </w:rPr>
              <w:t>3.2. Gestion des ressources humaines</w:t>
            </w:r>
          </w:p>
        </w:tc>
      </w:tr>
      <w:tr w:rsidR="0064605B" w:rsidRPr="00301A3A"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83084" w:rsidRPr="002B0D48" w:rsidRDefault="00283084" w:rsidP="00283084">
            <w:pPr>
              <w:spacing w:after="0" w:line="259" w:lineRule="auto"/>
              <w:ind w:left="2" w:firstLine="0"/>
              <w:jc w:val="left"/>
              <w:rPr>
                <w:color w:val="00B0F0"/>
                <w:sz w:val="24"/>
                <w:szCs w:val="28"/>
              </w:rPr>
            </w:pPr>
            <w:r w:rsidRPr="002B0D48">
              <w:rPr>
                <w:b/>
                <w:color w:val="00B0F0"/>
                <w:sz w:val="24"/>
                <w:szCs w:val="28"/>
              </w:rPr>
              <w:t xml:space="preserve">S 3.2.1 Le recrutement </w:t>
            </w:r>
          </w:p>
          <w:p w:rsidR="00283084" w:rsidRPr="002B0D48" w:rsidRDefault="00283084" w:rsidP="00283084">
            <w:pPr>
              <w:numPr>
                <w:ilvl w:val="0"/>
                <w:numId w:val="10"/>
              </w:numPr>
              <w:spacing w:after="0" w:line="241" w:lineRule="auto"/>
              <w:ind w:firstLine="0"/>
              <w:jc w:val="left"/>
              <w:rPr>
                <w:sz w:val="24"/>
                <w:szCs w:val="28"/>
              </w:rPr>
            </w:pPr>
            <w:r w:rsidRPr="002B0D48">
              <w:rPr>
                <w:sz w:val="24"/>
                <w:szCs w:val="28"/>
              </w:rPr>
              <w:t xml:space="preserve">Cadre juridique de l’embauche - Gestion prévisionnelle des emplois et des compétences (notions, apports, limites) </w:t>
            </w:r>
          </w:p>
          <w:p w:rsidR="00283084" w:rsidRPr="002B0D48" w:rsidRDefault="00283084" w:rsidP="00283084">
            <w:pPr>
              <w:numPr>
                <w:ilvl w:val="0"/>
                <w:numId w:val="10"/>
              </w:numPr>
              <w:spacing w:after="0" w:line="259" w:lineRule="auto"/>
              <w:ind w:firstLine="0"/>
              <w:jc w:val="left"/>
              <w:rPr>
                <w:sz w:val="24"/>
                <w:szCs w:val="28"/>
              </w:rPr>
            </w:pPr>
            <w:r w:rsidRPr="002B0D48">
              <w:rPr>
                <w:sz w:val="24"/>
                <w:szCs w:val="28"/>
              </w:rPr>
              <w:t xml:space="preserve">Processus de recrutement </w:t>
            </w:r>
          </w:p>
          <w:p w:rsidR="00283084" w:rsidRPr="002B0D48" w:rsidRDefault="00283084" w:rsidP="00283084">
            <w:pPr>
              <w:numPr>
                <w:ilvl w:val="0"/>
                <w:numId w:val="10"/>
              </w:numPr>
              <w:spacing w:after="0" w:line="259" w:lineRule="auto"/>
              <w:ind w:firstLine="0"/>
              <w:jc w:val="left"/>
              <w:rPr>
                <w:sz w:val="24"/>
                <w:szCs w:val="28"/>
              </w:rPr>
            </w:pPr>
            <w:r w:rsidRPr="002B0D48">
              <w:rPr>
                <w:sz w:val="24"/>
                <w:szCs w:val="28"/>
              </w:rPr>
              <w:t xml:space="preserve">Acteurs du recrutement </w:t>
            </w:r>
          </w:p>
          <w:p w:rsidR="00283084" w:rsidRPr="002B0D48" w:rsidRDefault="00283084" w:rsidP="00283084">
            <w:pPr>
              <w:numPr>
                <w:ilvl w:val="0"/>
                <w:numId w:val="10"/>
              </w:numPr>
              <w:spacing w:after="1" w:line="240" w:lineRule="auto"/>
              <w:ind w:firstLine="0"/>
              <w:jc w:val="left"/>
              <w:rPr>
                <w:sz w:val="24"/>
                <w:szCs w:val="28"/>
              </w:rPr>
            </w:pPr>
            <w:r w:rsidRPr="002B0D48">
              <w:rPr>
                <w:sz w:val="24"/>
                <w:szCs w:val="28"/>
              </w:rPr>
              <w:t xml:space="preserve">Outils de description des emplois - Techniques de sélection des candidatures </w:t>
            </w:r>
          </w:p>
          <w:p w:rsidR="0064605B" w:rsidRPr="002B0D48" w:rsidRDefault="00283084" w:rsidP="00283084">
            <w:pPr>
              <w:spacing w:after="0" w:line="259" w:lineRule="auto"/>
              <w:ind w:left="0" w:firstLine="0"/>
              <w:jc w:val="left"/>
              <w:rPr>
                <w:b/>
                <w:bCs/>
                <w:sz w:val="24"/>
                <w:szCs w:val="28"/>
              </w:rPr>
            </w:pPr>
            <w:r w:rsidRPr="002B0D48">
              <w:rPr>
                <w:sz w:val="24"/>
                <w:szCs w:val="28"/>
              </w:rPr>
              <w:t>Annonces de recrutement</w:t>
            </w:r>
          </w:p>
        </w:tc>
        <w:tc>
          <w:tcPr>
            <w:tcW w:w="6390" w:type="dxa"/>
            <w:tcBorders>
              <w:top w:val="single" w:sz="8" w:space="0" w:color="000000"/>
              <w:left w:val="single" w:sz="8" w:space="0" w:color="000000"/>
              <w:bottom w:val="single" w:sz="8" w:space="0" w:color="000000"/>
              <w:right w:val="single" w:sz="8" w:space="0" w:color="000000"/>
            </w:tcBorders>
            <w:vAlign w:val="center"/>
          </w:tcPr>
          <w:p w:rsidR="00283084" w:rsidRPr="002B0D48" w:rsidRDefault="00283084" w:rsidP="00283084">
            <w:pPr>
              <w:spacing w:after="1" w:line="241" w:lineRule="auto"/>
              <w:ind w:left="0" w:right="46" w:firstLine="0"/>
              <w:rPr>
                <w:sz w:val="24"/>
                <w:szCs w:val="28"/>
              </w:rPr>
            </w:pPr>
            <w:r w:rsidRPr="002B0D48">
              <w:rPr>
                <w:sz w:val="24"/>
                <w:szCs w:val="28"/>
              </w:rPr>
              <w:t xml:space="preserve">L’identification et la spécification des besoins en RH impliquent l’analyse du poste, de l’emploi ou de la fonction à pourvoir afin d’établir un descriptif de poste ou de fonctions, préalable nécessaire à la campagne de recrutement. Les outils de la GPEC ne sont pas abordés de manière exhaustive mais plutôt par l’analyse d’une situation pratique pour montrer pourquoi et comment une PME peut effectuer une gestion prévisionnelle des emplois, voire des compétences. Les différentes alternatives en matière de campagne de recrutement et de procédures de sélection sont étudiées en présentant leurs avantages et inconvénients propres. La phase de sélection des candidats se limite à l’analyse </w:t>
            </w:r>
            <w:proofErr w:type="gramStart"/>
            <w:r w:rsidRPr="002B0D48">
              <w:rPr>
                <w:sz w:val="24"/>
                <w:szCs w:val="28"/>
              </w:rPr>
              <w:t>des curriculum</w:t>
            </w:r>
            <w:proofErr w:type="gramEnd"/>
            <w:r w:rsidRPr="002B0D48">
              <w:rPr>
                <w:sz w:val="24"/>
                <w:szCs w:val="28"/>
              </w:rPr>
              <w:t xml:space="preserve"> vitae et des lettres de motivation. La présentation des tests est limitée aux trois grands types classiques (tests d’aptitudes, tests psychotechniques et tests de personnalité) sans recourir systématiquement à des exemples. Seule la phase préparatoire de l’entretien (convocations, organisation, grilles) est traitée. Considérée comme une prérogative du chef d’entreprise, la conduite de l’entretien ne fera pas l’objet d’exercices de communication orale.  </w:t>
            </w:r>
          </w:p>
          <w:p w:rsidR="00283084" w:rsidRPr="002B0D48" w:rsidRDefault="00283084" w:rsidP="00283084">
            <w:pPr>
              <w:spacing w:after="1" w:line="240" w:lineRule="auto"/>
              <w:ind w:left="0" w:right="45" w:firstLine="0"/>
              <w:rPr>
                <w:sz w:val="24"/>
                <w:szCs w:val="28"/>
              </w:rPr>
            </w:pPr>
            <w:r w:rsidRPr="002B0D48">
              <w:rPr>
                <w:sz w:val="24"/>
                <w:szCs w:val="28"/>
              </w:rPr>
              <w:t xml:space="preserve">Le processus de recrutement et le contenu de l’annonce permettent le rappel des règles de droit en matière de recrutement (principe de </w:t>
            </w:r>
            <w:proofErr w:type="spellStart"/>
            <w:r w:rsidRPr="002B0D48">
              <w:rPr>
                <w:sz w:val="24"/>
                <w:szCs w:val="28"/>
              </w:rPr>
              <w:t>non discrimination</w:t>
            </w:r>
            <w:proofErr w:type="spellEnd"/>
            <w:r w:rsidRPr="002B0D48">
              <w:rPr>
                <w:sz w:val="24"/>
                <w:szCs w:val="28"/>
              </w:rPr>
              <w:t xml:space="preserve">, …). </w:t>
            </w:r>
          </w:p>
          <w:p w:rsidR="0064605B" w:rsidRPr="002B0D48" w:rsidRDefault="0064605B" w:rsidP="00E46846">
            <w:pPr>
              <w:spacing w:after="0" w:line="241" w:lineRule="auto"/>
              <w:ind w:left="0" w:right="46" w:firstLine="0"/>
              <w:rPr>
                <w:b/>
                <w:bCs/>
                <w:sz w:val="24"/>
                <w:szCs w:val="28"/>
              </w:rPr>
            </w:pPr>
          </w:p>
        </w:tc>
      </w:tr>
      <w:tr w:rsidR="0064605B"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83084" w:rsidRPr="002B0D48" w:rsidRDefault="00283084" w:rsidP="00283084">
            <w:pPr>
              <w:spacing w:after="0" w:line="242" w:lineRule="auto"/>
              <w:ind w:left="2" w:firstLine="0"/>
              <w:jc w:val="left"/>
              <w:rPr>
                <w:color w:val="00B0F0"/>
                <w:sz w:val="24"/>
                <w:szCs w:val="28"/>
              </w:rPr>
            </w:pPr>
            <w:r w:rsidRPr="002B0D48">
              <w:rPr>
                <w:b/>
                <w:color w:val="00B0F0"/>
                <w:sz w:val="24"/>
                <w:szCs w:val="28"/>
              </w:rPr>
              <w:t xml:space="preserve">S 3.2.2 L'intégration des nouveaux membres </w:t>
            </w:r>
          </w:p>
          <w:p w:rsidR="00283084" w:rsidRPr="002B0D48" w:rsidRDefault="00283084" w:rsidP="00283084">
            <w:pPr>
              <w:numPr>
                <w:ilvl w:val="0"/>
                <w:numId w:val="11"/>
              </w:numPr>
              <w:spacing w:after="2" w:line="239" w:lineRule="auto"/>
              <w:ind w:firstLine="0"/>
              <w:jc w:val="left"/>
              <w:rPr>
                <w:sz w:val="24"/>
                <w:szCs w:val="28"/>
              </w:rPr>
            </w:pPr>
            <w:r w:rsidRPr="002B0D48">
              <w:rPr>
                <w:sz w:val="24"/>
                <w:szCs w:val="28"/>
              </w:rPr>
              <w:t xml:space="preserve">Enjeu et dispositif d’intégration : apprentissage, formation, évaluation </w:t>
            </w:r>
          </w:p>
          <w:p w:rsidR="00283084" w:rsidRPr="002B0D48" w:rsidRDefault="00283084" w:rsidP="00283084">
            <w:pPr>
              <w:numPr>
                <w:ilvl w:val="0"/>
                <w:numId w:val="11"/>
              </w:numPr>
              <w:spacing w:after="0" w:line="259" w:lineRule="auto"/>
              <w:ind w:firstLine="0"/>
              <w:jc w:val="left"/>
              <w:rPr>
                <w:sz w:val="24"/>
                <w:szCs w:val="28"/>
              </w:rPr>
            </w:pPr>
            <w:r w:rsidRPr="002B0D48">
              <w:rPr>
                <w:sz w:val="24"/>
                <w:szCs w:val="28"/>
              </w:rPr>
              <w:t xml:space="preserve">Procédure d’intégration </w:t>
            </w:r>
          </w:p>
          <w:p w:rsidR="00283084" w:rsidRPr="002B0D48" w:rsidRDefault="00283084" w:rsidP="00283084">
            <w:pPr>
              <w:numPr>
                <w:ilvl w:val="0"/>
                <w:numId w:val="11"/>
              </w:numPr>
              <w:spacing w:after="0" w:line="259" w:lineRule="auto"/>
              <w:ind w:firstLine="0"/>
              <w:jc w:val="left"/>
              <w:rPr>
                <w:sz w:val="24"/>
                <w:szCs w:val="28"/>
              </w:rPr>
            </w:pPr>
            <w:r w:rsidRPr="002B0D48">
              <w:rPr>
                <w:sz w:val="24"/>
                <w:szCs w:val="28"/>
              </w:rPr>
              <w:t xml:space="preserve">Suivi de l’intégration </w:t>
            </w:r>
          </w:p>
          <w:p w:rsidR="0064605B" w:rsidRPr="002B0D48" w:rsidRDefault="0064605B" w:rsidP="00141CAD">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83084" w:rsidRPr="002B0D48" w:rsidRDefault="00283084" w:rsidP="00283084">
            <w:pPr>
              <w:spacing w:after="1" w:line="241" w:lineRule="auto"/>
              <w:ind w:left="0" w:right="49" w:firstLine="0"/>
              <w:rPr>
                <w:sz w:val="24"/>
                <w:szCs w:val="28"/>
              </w:rPr>
            </w:pPr>
            <w:r w:rsidRPr="002B0D48">
              <w:rPr>
                <w:sz w:val="24"/>
                <w:szCs w:val="28"/>
              </w:rPr>
              <w:t xml:space="preserve">L’intégration de nouveaux membres est essentielle pour la PME. Elle nécessite la transmission des consignes, la présentation du contexte de travail, des autres salariés et également une prise en charge administrative. Le titulaire du diplôme </w:t>
            </w:r>
            <w:proofErr w:type="spellStart"/>
            <w:proofErr w:type="gramStart"/>
            <w:r w:rsidRPr="002B0D48">
              <w:rPr>
                <w:sz w:val="24"/>
                <w:szCs w:val="28"/>
              </w:rPr>
              <w:t>peut-être</w:t>
            </w:r>
            <w:proofErr w:type="spellEnd"/>
            <w:proofErr w:type="gramEnd"/>
            <w:r w:rsidRPr="002B0D48">
              <w:rPr>
                <w:sz w:val="24"/>
                <w:szCs w:val="28"/>
              </w:rPr>
              <w:t xml:space="preserve"> amené à présenter aux nouveaux membres, les règles de fonctionnement, les valeurs de la PME. </w:t>
            </w:r>
          </w:p>
          <w:p w:rsidR="0064605B" w:rsidRPr="002B0D48" w:rsidRDefault="0064605B" w:rsidP="00141CAD">
            <w:pPr>
              <w:spacing w:after="0" w:line="241" w:lineRule="auto"/>
              <w:ind w:left="0" w:firstLine="0"/>
              <w:rPr>
                <w:b/>
                <w:bCs/>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3724B" w:rsidRPr="002B0D48" w:rsidRDefault="0023724B" w:rsidP="0023724B">
            <w:pPr>
              <w:spacing w:after="0" w:line="259" w:lineRule="auto"/>
              <w:ind w:left="2" w:firstLine="0"/>
              <w:jc w:val="left"/>
              <w:rPr>
                <w:color w:val="00B0F0"/>
                <w:sz w:val="24"/>
                <w:szCs w:val="28"/>
              </w:rPr>
            </w:pPr>
            <w:r w:rsidRPr="002B0D48">
              <w:rPr>
                <w:b/>
                <w:color w:val="00B0F0"/>
                <w:sz w:val="24"/>
                <w:szCs w:val="28"/>
              </w:rPr>
              <w:t xml:space="preserve">S 3.2.3 La formation </w:t>
            </w:r>
          </w:p>
          <w:p w:rsidR="0023724B" w:rsidRPr="002B0D48" w:rsidRDefault="0023724B" w:rsidP="0023724B">
            <w:pPr>
              <w:numPr>
                <w:ilvl w:val="0"/>
                <w:numId w:val="12"/>
              </w:numPr>
              <w:spacing w:after="0" w:line="259" w:lineRule="auto"/>
              <w:ind w:firstLine="0"/>
              <w:jc w:val="left"/>
              <w:rPr>
                <w:sz w:val="24"/>
                <w:szCs w:val="28"/>
              </w:rPr>
            </w:pPr>
            <w:r w:rsidRPr="002B0D48">
              <w:rPr>
                <w:sz w:val="24"/>
                <w:szCs w:val="28"/>
              </w:rPr>
              <w:t xml:space="preserve">Cadre juridique de la formation - </w:t>
            </w:r>
          </w:p>
          <w:p w:rsidR="0023724B" w:rsidRPr="002B0D48" w:rsidRDefault="0023724B" w:rsidP="0023724B">
            <w:pPr>
              <w:spacing w:after="0" w:line="259" w:lineRule="auto"/>
              <w:ind w:left="2" w:firstLine="0"/>
              <w:jc w:val="left"/>
              <w:rPr>
                <w:sz w:val="24"/>
                <w:szCs w:val="28"/>
              </w:rPr>
            </w:pPr>
            <w:r w:rsidRPr="002B0D48">
              <w:rPr>
                <w:sz w:val="24"/>
                <w:szCs w:val="28"/>
              </w:rPr>
              <w:t xml:space="preserve">Dispositifs de formation </w:t>
            </w:r>
          </w:p>
          <w:p w:rsidR="0023724B" w:rsidRPr="002B0D48" w:rsidRDefault="0023724B" w:rsidP="0023724B">
            <w:pPr>
              <w:numPr>
                <w:ilvl w:val="0"/>
                <w:numId w:val="12"/>
              </w:numPr>
              <w:spacing w:after="0" w:line="259" w:lineRule="auto"/>
              <w:ind w:firstLine="0"/>
              <w:jc w:val="left"/>
              <w:rPr>
                <w:sz w:val="24"/>
                <w:szCs w:val="28"/>
              </w:rPr>
            </w:pPr>
            <w:r w:rsidRPr="002B0D48">
              <w:rPr>
                <w:sz w:val="24"/>
                <w:szCs w:val="28"/>
              </w:rPr>
              <w:t xml:space="preserve">Critères de choix des formations </w:t>
            </w:r>
          </w:p>
          <w:p w:rsidR="0023724B" w:rsidRPr="002B0D48" w:rsidRDefault="0023724B" w:rsidP="0023724B">
            <w:pPr>
              <w:numPr>
                <w:ilvl w:val="0"/>
                <w:numId w:val="12"/>
              </w:numPr>
              <w:spacing w:after="0" w:line="242" w:lineRule="auto"/>
              <w:ind w:firstLine="0"/>
              <w:jc w:val="left"/>
              <w:rPr>
                <w:sz w:val="24"/>
                <w:szCs w:val="28"/>
              </w:rPr>
            </w:pPr>
            <w:r w:rsidRPr="002B0D48">
              <w:rPr>
                <w:sz w:val="24"/>
                <w:szCs w:val="28"/>
              </w:rPr>
              <w:t xml:space="preserve">Evaluation des formations (dont enquête) </w:t>
            </w:r>
          </w:p>
          <w:p w:rsidR="00FE2001" w:rsidRPr="002B0D48" w:rsidRDefault="00FE2001" w:rsidP="00FE2001">
            <w:pPr>
              <w:spacing w:after="0" w:line="242" w:lineRule="auto"/>
              <w:ind w:left="2" w:right="7" w:firstLine="0"/>
              <w:jc w:val="left"/>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3724B" w:rsidRPr="002B0D48" w:rsidRDefault="0023724B" w:rsidP="0023724B">
            <w:pPr>
              <w:spacing w:after="1" w:line="241" w:lineRule="auto"/>
              <w:ind w:left="0" w:right="49" w:firstLine="0"/>
              <w:rPr>
                <w:sz w:val="24"/>
                <w:szCs w:val="28"/>
              </w:rPr>
            </w:pPr>
            <w:r w:rsidRPr="002B0D48">
              <w:rPr>
                <w:sz w:val="24"/>
                <w:szCs w:val="28"/>
              </w:rPr>
              <w:lastRenderedPageBreak/>
              <w:t xml:space="preserve">La formation est traitée à la fois sous un angle de gestion des compétences, et de droit des personnes à bénéficier de formations. Les étapes de l’élaboration et de la mise en œuvre du plan de formation sont illustrées à travers l’observation et l’analyse de cas pratiques pour éviter la présentation de schémas trop théoriques. Le plan de formation est donc étudié en tant qu’outil dynamique qui traduit concrètement la </w:t>
            </w:r>
            <w:proofErr w:type="gramStart"/>
            <w:r w:rsidRPr="002B0D48">
              <w:rPr>
                <w:sz w:val="24"/>
                <w:szCs w:val="28"/>
              </w:rPr>
              <w:lastRenderedPageBreak/>
              <w:t>politique</w:t>
            </w:r>
            <w:proofErr w:type="gramEnd"/>
            <w:r w:rsidRPr="002B0D48">
              <w:rPr>
                <w:sz w:val="24"/>
                <w:szCs w:val="28"/>
              </w:rPr>
              <w:t xml:space="preserve"> de formation de l’entreprise et intègre dans une perspective temporelle les objectifs poursuivis, les catégories, les effectifs et métiers concernés, les actions de formation envisagées, les budgets, les modalités d’évaluation. </w:t>
            </w:r>
          </w:p>
          <w:p w:rsidR="00FE2001" w:rsidRPr="002B0D48" w:rsidRDefault="00FE2001" w:rsidP="00FE2001">
            <w:pPr>
              <w:spacing w:after="1" w:line="241" w:lineRule="auto"/>
              <w:ind w:left="0" w:right="45" w:firstLine="0"/>
              <w:rPr>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3724B" w:rsidRPr="002B0D48" w:rsidRDefault="0023724B" w:rsidP="0023724B">
            <w:pPr>
              <w:spacing w:after="0" w:line="259" w:lineRule="auto"/>
              <w:ind w:left="2" w:firstLine="0"/>
              <w:jc w:val="left"/>
              <w:rPr>
                <w:color w:val="00B0F0"/>
                <w:sz w:val="24"/>
                <w:szCs w:val="28"/>
              </w:rPr>
            </w:pPr>
            <w:r w:rsidRPr="002B0D48">
              <w:rPr>
                <w:b/>
                <w:color w:val="00B0F0"/>
                <w:sz w:val="24"/>
                <w:szCs w:val="28"/>
              </w:rPr>
              <w:lastRenderedPageBreak/>
              <w:t xml:space="preserve">S 3.2.4 L'évaluation </w:t>
            </w:r>
          </w:p>
          <w:p w:rsidR="0023724B" w:rsidRPr="002B0D48" w:rsidRDefault="0023724B" w:rsidP="0023724B">
            <w:pPr>
              <w:numPr>
                <w:ilvl w:val="0"/>
                <w:numId w:val="13"/>
              </w:numPr>
              <w:spacing w:after="0" w:line="259" w:lineRule="auto"/>
              <w:ind w:hanging="334"/>
              <w:jc w:val="left"/>
              <w:rPr>
                <w:sz w:val="24"/>
                <w:szCs w:val="28"/>
              </w:rPr>
            </w:pPr>
            <w:r w:rsidRPr="002B0D48">
              <w:rPr>
                <w:sz w:val="24"/>
                <w:szCs w:val="28"/>
              </w:rPr>
              <w:t xml:space="preserve">Cadre juridique de l'évaluation </w:t>
            </w:r>
          </w:p>
          <w:p w:rsidR="0023724B" w:rsidRPr="002B0D48" w:rsidRDefault="0023724B" w:rsidP="0023724B">
            <w:pPr>
              <w:numPr>
                <w:ilvl w:val="0"/>
                <w:numId w:val="13"/>
              </w:numPr>
              <w:spacing w:after="0" w:line="259" w:lineRule="auto"/>
              <w:ind w:hanging="334"/>
              <w:jc w:val="left"/>
              <w:rPr>
                <w:sz w:val="24"/>
                <w:szCs w:val="28"/>
              </w:rPr>
            </w:pPr>
            <w:r w:rsidRPr="002B0D48">
              <w:rPr>
                <w:sz w:val="24"/>
                <w:szCs w:val="28"/>
              </w:rPr>
              <w:t xml:space="preserve">Démarche et techniques de </w:t>
            </w:r>
          </w:p>
          <w:p w:rsidR="0023724B" w:rsidRPr="002B0D48" w:rsidRDefault="0023724B" w:rsidP="0023724B">
            <w:pPr>
              <w:spacing w:after="0" w:line="259" w:lineRule="auto"/>
              <w:ind w:left="2" w:firstLine="0"/>
              <w:jc w:val="left"/>
              <w:rPr>
                <w:sz w:val="24"/>
                <w:szCs w:val="28"/>
              </w:rPr>
            </w:pPr>
            <w:proofErr w:type="gramStart"/>
            <w:r w:rsidRPr="002B0D48">
              <w:rPr>
                <w:sz w:val="24"/>
                <w:szCs w:val="28"/>
              </w:rPr>
              <w:t>l’évaluation</w:t>
            </w:r>
            <w:proofErr w:type="gramEnd"/>
            <w:r w:rsidRPr="002B0D48">
              <w:rPr>
                <w:sz w:val="24"/>
                <w:szCs w:val="28"/>
              </w:rPr>
              <w:t xml:space="preserve"> professionnelle </w:t>
            </w:r>
          </w:p>
          <w:p w:rsidR="0023724B" w:rsidRPr="002B0D48" w:rsidRDefault="0023724B" w:rsidP="0023724B">
            <w:pPr>
              <w:numPr>
                <w:ilvl w:val="0"/>
                <w:numId w:val="13"/>
              </w:numPr>
              <w:spacing w:after="0" w:line="259" w:lineRule="auto"/>
              <w:ind w:hanging="334"/>
              <w:jc w:val="left"/>
              <w:rPr>
                <w:sz w:val="24"/>
                <w:szCs w:val="28"/>
              </w:rPr>
            </w:pPr>
            <w:r w:rsidRPr="002B0D48">
              <w:rPr>
                <w:sz w:val="24"/>
                <w:szCs w:val="28"/>
              </w:rPr>
              <w:t xml:space="preserve">Critères de succès </w:t>
            </w:r>
          </w:p>
          <w:p w:rsidR="0023724B" w:rsidRPr="002B0D48" w:rsidRDefault="0023724B" w:rsidP="0023724B">
            <w:pPr>
              <w:numPr>
                <w:ilvl w:val="0"/>
                <w:numId w:val="13"/>
              </w:numPr>
              <w:spacing w:after="0" w:line="259" w:lineRule="auto"/>
              <w:ind w:hanging="334"/>
              <w:jc w:val="left"/>
              <w:rPr>
                <w:sz w:val="24"/>
                <w:szCs w:val="28"/>
              </w:rPr>
            </w:pPr>
            <w:r w:rsidRPr="002B0D48">
              <w:rPr>
                <w:sz w:val="24"/>
                <w:szCs w:val="28"/>
              </w:rPr>
              <w:t xml:space="preserve">Grille d’entretien d’évaluation </w:t>
            </w:r>
          </w:p>
          <w:p w:rsidR="00FE2001" w:rsidRPr="002B0D48" w:rsidRDefault="00FE2001" w:rsidP="00FE2001">
            <w:pPr>
              <w:spacing w:after="100" w:line="259" w:lineRule="auto"/>
              <w:ind w:left="2"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3724B" w:rsidRPr="002B0D48" w:rsidRDefault="0023724B" w:rsidP="0023724B">
            <w:pPr>
              <w:spacing w:after="2" w:line="239" w:lineRule="auto"/>
              <w:ind w:left="0" w:firstLine="0"/>
              <w:rPr>
                <w:sz w:val="24"/>
                <w:szCs w:val="28"/>
              </w:rPr>
            </w:pPr>
            <w:r w:rsidRPr="002B0D48">
              <w:rPr>
                <w:sz w:val="24"/>
                <w:szCs w:val="28"/>
              </w:rPr>
              <w:t>L’entretien d’évaluation des salariés</w:t>
            </w:r>
            <w:r w:rsidRPr="002B0D48">
              <w:rPr>
                <w:color w:val="FF0000"/>
                <w:sz w:val="24"/>
                <w:szCs w:val="28"/>
              </w:rPr>
              <w:t xml:space="preserve"> </w:t>
            </w:r>
            <w:r w:rsidRPr="002B0D48">
              <w:rPr>
                <w:sz w:val="24"/>
                <w:szCs w:val="28"/>
              </w:rPr>
              <w:t xml:space="preserve">est un outil précieux de gestion des ressources humaines. </w:t>
            </w:r>
          </w:p>
          <w:p w:rsidR="0023724B" w:rsidRPr="002B0D48" w:rsidRDefault="0023724B" w:rsidP="0023724B">
            <w:pPr>
              <w:spacing w:after="1" w:line="240" w:lineRule="auto"/>
              <w:ind w:left="0" w:right="51" w:firstLine="0"/>
              <w:rPr>
                <w:sz w:val="24"/>
                <w:szCs w:val="28"/>
              </w:rPr>
            </w:pPr>
            <w:r w:rsidRPr="002B0D48">
              <w:rPr>
                <w:sz w:val="24"/>
                <w:szCs w:val="28"/>
              </w:rPr>
              <w:t xml:space="preserve">Moment de dialogue entre un collaborateur et la direction de la PME, l’entretien individuel peut aussi se révéler l’instant privilégié d’expression éventuelle de divergences ou de besoins, </w:t>
            </w:r>
            <w:r w:rsidRPr="002B0D48">
              <w:rPr>
                <w:color w:val="00B0F0"/>
                <w:sz w:val="24"/>
                <w:szCs w:val="28"/>
              </w:rPr>
              <w:t xml:space="preserve"> </w:t>
            </w:r>
          </w:p>
          <w:p w:rsidR="0023724B" w:rsidRPr="002B0D48" w:rsidRDefault="0023724B" w:rsidP="0023724B">
            <w:pPr>
              <w:spacing w:after="0" w:line="242" w:lineRule="auto"/>
              <w:ind w:left="0" w:firstLine="0"/>
              <w:rPr>
                <w:sz w:val="24"/>
                <w:szCs w:val="28"/>
              </w:rPr>
            </w:pPr>
            <w:r w:rsidRPr="002B0D48">
              <w:rPr>
                <w:sz w:val="24"/>
                <w:szCs w:val="28"/>
              </w:rPr>
              <w:t xml:space="preserve">Des situations d’entretien d’évaluation peuvent être analysées à travers des vidéos. </w:t>
            </w:r>
          </w:p>
          <w:p w:rsidR="00FE2001" w:rsidRPr="002B0D48" w:rsidRDefault="00FE2001" w:rsidP="00FE2001">
            <w:pPr>
              <w:spacing w:after="1" w:line="241" w:lineRule="auto"/>
              <w:ind w:left="0" w:right="44" w:firstLine="0"/>
              <w:rPr>
                <w:sz w:val="24"/>
                <w:szCs w:val="28"/>
              </w:rPr>
            </w:pPr>
          </w:p>
        </w:tc>
      </w:tr>
      <w:tr w:rsidR="00FE2001"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FE2001" w:rsidRPr="002B0D48" w:rsidRDefault="0023724B" w:rsidP="00FE2001">
            <w:pPr>
              <w:spacing w:after="0" w:line="259" w:lineRule="auto"/>
              <w:ind w:left="2" w:firstLine="0"/>
              <w:jc w:val="left"/>
              <w:rPr>
                <w:b/>
                <w:color w:val="00B0F0"/>
                <w:sz w:val="24"/>
                <w:szCs w:val="28"/>
              </w:rPr>
            </w:pPr>
            <w:bookmarkStart w:id="0" w:name="_GoBack"/>
            <w:r w:rsidRPr="002B0D48">
              <w:rPr>
                <w:b/>
                <w:color w:val="00B0F0"/>
                <w:sz w:val="24"/>
                <w:szCs w:val="28"/>
              </w:rPr>
              <w:t>S 3.2.5 Le tableau de bord social</w:t>
            </w:r>
          </w:p>
          <w:bookmarkEnd w:id="0"/>
          <w:p w:rsidR="0023724B" w:rsidRPr="002B0D48" w:rsidRDefault="0023724B" w:rsidP="00FE2001">
            <w:pPr>
              <w:spacing w:after="0" w:line="259" w:lineRule="auto"/>
              <w:ind w:left="2" w:firstLine="0"/>
              <w:jc w:val="left"/>
              <w:rPr>
                <w:b/>
                <w:sz w:val="24"/>
                <w:szCs w:val="28"/>
              </w:rPr>
            </w:pPr>
          </w:p>
          <w:p w:rsidR="0023724B" w:rsidRPr="002B0D48" w:rsidRDefault="0023724B" w:rsidP="0023724B">
            <w:pPr>
              <w:numPr>
                <w:ilvl w:val="0"/>
                <w:numId w:val="14"/>
              </w:numPr>
              <w:spacing w:after="1" w:line="240" w:lineRule="auto"/>
              <w:ind w:right="290" w:firstLine="0"/>
              <w:jc w:val="left"/>
              <w:rPr>
                <w:sz w:val="24"/>
                <w:szCs w:val="28"/>
              </w:rPr>
            </w:pPr>
            <w:r w:rsidRPr="002B0D48">
              <w:rPr>
                <w:sz w:val="24"/>
                <w:szCs w:val="28"/>
              </w:rPr>
              <w:t>Climat social (dont enquête)</w:t>
            </w:r>
          </w:p>
          <w:p w:rsidR="0023724B" w:rsidRPr="002B0D48" w:rsidRDefault="0023724B" w:rsidP="0023724B">
            <w:pPr>
              <w:numPr>
                <w:ilvl w:val="0"/>
                <w:numId w:val="14"/>
              </w:numPr>
              <w:spacing w:after="1" w:line="240" w:lineRule="auto"/>
              <w:ind w:right="290" w:firstLine="0"/>
              <w:jc w:val="left"/>
              <w:rPr>
                <w:sz w:val="24"/>
                <w:szCs w:val="28"/>
              </w:rPr>
            </w:pPr>
            <w:r w:rsidRPr="002B0D48">
              <w:rPr>
                <w:sz w:val="24"/>
                <w:szCs w:val="28"/>
              </w:rPr>
              <w:t xml:space="preserve">Objectif du tableau de bord de la gestion sociale </w:t>
            </w:r>
          </w:p>
          <w:p w:rsidR="0023724B" w:rsidRPr="002B0D48" w:rsidRDefault="0023724B" w:rsidP="0023724B">
            <w:pPr>
              <w:pStyle w:val="Paragraphedeliste"/>
              <w:numPr>
                <w:ilvl w:val="0"/>
                <w:numId w:val="14"/>
              </w:numPr>
              <w:spacing w:after="0" w:line="259" w:lineRule="auto"/>
              <w:jc w:val="left"/>
              <w:rPr>
                <w:b/>
                <w:sz w:val="24"/>
                <w:szCs w:val="28"/>
              </w:rPr>
            </w:pPr>
            <w:r w:rsidRPr="002B0D48">
              <w:rPr>
                <w:sz w:val="24"/>
                <w:szCs w:val="28"/>
              </w:rPr>
              <w:t>Indicateurs de la gestion sociale (- Indicateurs sociaux qualitatifs et quantitatifs)</w:t>
            </w:r>
          </w:p>
        </w:tc>
        <w:tc>
          <w:tcPr>
            <w:tcW w:w="6390" w:type="dxa"/>
            <w:tcBorders>
              <w:top w:val="single" w:sz="8" w:space="0" w:color="000000"/>
              <w:left w:val="single" w:sz="8" w:space="0" w:color="000000"/>
              <w:bottom w:val="single" w:sz="8" w:space="0" w:color="000000"/>
              <w:right w:val="single" w:sz="8" w:space="0" w:color="000000"/>
            </w:tcBorders>
            <w:vAlign w:val="center"/>
          </w:tcPr>
          <w:p w:rsidR="0023724B" w:rsidRPr="002B0D48" w:rsidRDefault="0023724B" w:rsidP="0023724B">
            <w:pPr>
              <w:spacing w:after="0" w:line="259" w:lineRule="auto"/>
              <w:ind w:left="0" w:firstLine="0"/>
              <w:jc w:val="left"/>
              <w:rPr>
                <w:sz w:val="24"/>
                <w:szCs w:val="28"/>
              </w:rPr>
            </w:pPr>
            <w:r w:rsidRPr="002B0D48">
              <w:rPr>
                <w:sz w:val="24"/>
                <w:szCs w:val="28"/>
              </w:rPr>
              <w:t>Le tableau de bord social est construit à partir de quelques indicateurs</w:t>
            </w:r>
            <w:r w:rsidRPr="002B0D48">
              <w:rPr>
                <w:sz w:val="24"/>
                <w:szCs w:val="28"/>
              </w:rPr>
              <w:t xml:space="preserve"> </w:t>
            </w:r>
            <w:r w:rsidRPr="002B0D48">
              <w:rPr>
                <w:sz w:val="24"/>
                <w:szCs w:val="28"/>
              </w:rPr>
              <w:t xml:space="preserve">pertinents proposés par la direction de la PME </w:t>
            </w:r>
          </w:p>
          <w:p w:rsidR="00FE2001" w:rsidRPr="002B0D48" w:rsidRDefault="00FE2001" w:rsidP="00FE2001">
            <w:pPr>
              <w:spacing w:after="1" w:line="241" w:lineRule="auto"/>
              <w:ind w:left="0" w:right="42" w:firstLine="0"/>
              <w:rPr>
                <w:sz w:val="24"/>
                <w:szCs w:val="28"/>
              </w:rPr>
            </w:pPr>
          </w:p>
        </w:tc>
      </w:tr>
    </w:tbl>
    <w:p w:rsidR="00442A12" w:rsidRDefault="00442A12"/>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104"/>
    <w:multiLevelType w:val="hybridMultilevel"/>
    <w:tmpl w:val="EBF4A4F4"/>
    <w:lvl w:ilvl="0" w:tplc="D77C537C">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80FF0">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DCCC4A">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6602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AFF34">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8235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6904E">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DA2F5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34FE8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712B4F"/>
    <w:multiLevelType w:val="hybridMultilevel"/>
    <w:tmpl w:val="5A341670"/>
    <w:lvl w:ilvl="0" w:tplc="0E3092CA">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E84E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2080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F8305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0A8908">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5614BA">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46B3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444D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46D6D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70226"/>
    <w:multiLevelType w:val="hybridMultilevel"/>
    <w:tmpl w:val="19BEF6BC"/>
    <w:lvl w:ilvl="0" w:tplc="2EFCF042">
      <w:start w:val="1"/>
      <w:numFmt w:val="bullet"/>
      <w:lvlText w:val="-"/>
      <w:lvlJc w:val="left"/>
      <w:pPr>
        <w:ind w:left="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6418F2">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A4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90A88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429EE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82A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F36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4C774">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02675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667B5D"/>
    <w:multiLevelType w:val="hybridMultilevel"/>
    <w:tmpl w:val="E70E9ACA"/>
    <w:lvl w:ilvl="0" w:tplc="DDE2A27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4F63C">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48EF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7E53A6">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B3F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C1840">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F41EB4">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30BD88">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44846">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3B4204"/>
    <w:multiLevelType w:val="hybridMultilevel"/>
    <w:tmpl w:val="C3367FDC"/>
    <w:lvl w:ilvl="0" w:tplc="B7F4C4FE">
      <w:start w:val="1"/>
      <w:numFmt w:val="bullet"/>
      <w:lvlText w:val="-"/>
      <w:lvlJc w:val="left"/>
      <w:pPr>
        <w:ind w:left="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A2CC18">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871B0">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3A292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27CD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0E8EFE">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BA4B42">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845E3A">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E51AC">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72723F"/>
    <w:multiLevelType w:val="hybridMultilevel"/>
    <w:tmpl w:val="35F8BA6E"/>
    <w:lvl w:ilvl="0" w:tplc="83D2A27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6B654">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2E4D20">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3ECE9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C8F2">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4864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2C25A">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14CD36">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0390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4187CDC"/>
    <w:multiLevelType w:val="hybridMultilevel"/>
    <w:tmpl w:val="904072B4"/>
    <w:lvl w:ilvl="0" w:tplc="E2F67736">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8CB7C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5C250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1EB90C">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A2DC6">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B6D6A4">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24900">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92F976">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A478F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144017"/>
    <w:multiLevelType w:val="hybridMultilevel"/>
    <w:tmpl w:val="D7C4249A"/>
    <w:lvl w:ilvl="0" w:tplc="739EFDE0">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623EE">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ACAC">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58D4B2">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84A5C2">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0FFA8">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8A6E5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FA272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78468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8F4EA5"/>
    <w:multiLevelType w:val="hybridMultilevel"/>
    <w:tmpl w:val="1490311E"/>
    <w:lvl w:ilvl="0" w:tplc="2E98F05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6331A">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4BD76">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1C9494">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2A65FA">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E4D11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817E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BEECAE">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CA3134">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990B33"/>
    <w:multiLevelType w:val="hybridMultilevel"/>
    <w:tmpl w:val="B56C7C34"/>
    <w:lvl w:ilvl="0" w:tplc="54F22A7C">
      <w:start w:val="1"/>
      <w:numFmt w:val="bullet"/>
      <w:lvlText w:val="-"/>
      <w:lvlJc w:val="left"/>
      <w:pPr>
        <w:ind w:left="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1AE424">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52B814">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8CFF1A">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D8ECCE">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0EFF2">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04CC">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A6752">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012A0">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FF0DB1"/>
    <w:multiLevelType w:val="hybridMultilevel"/>
    <w:tmpl w:val="F36ADD0A"/>
    <w:lvl w:ilvl="0" w:tplc="49ACA3E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3C0BD8">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84C3A">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20B20">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8481C">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03256">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88C38">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46638">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A68EA">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1DA2226"/>
    <w:multiLevelType w:val="hybridMultilevel"/>
    <w:tmpl w:val="8E2A4C36"/>
    <w:lvl w:ilvl="0" w:tplc="3390622A">
      <w:start w:val="1"/>
      <w:numFmt w:val="bullet"/>
      <w:lvlText w:val="-"/>
      <w:lvlJc w:val="left"/>
      <w:pPr>
        <w:ind w:left="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EBCD05E">
      <w:start w:val="1"/>
      <w:numFmt w:val="bullet"/>
      <w:lvlText w:val="o"/>
      <w:lvlJc w:val="left"/>
      <w:pPr>
        <w:ind w:left="1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01A8C6C">
      <w:start w:val="1"/>
      <w:numFmt w:val="bullet"/>
      <w:lvlText w:val="▪"/>
      <w:lvlJc w:val="left"/>
      <w:pPr>
        <w:ind w:left="1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64EC208">
      <w:start w:val="1"/>
      <w:numFmt w:val="bullet"/>
      <w:lvlText w:val="•"/>
      <w:lvlJc w:val="left"/>
      <w:pPr>
        <w:ind w:left="2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61E2BC0">
      <w:start w:val="1"/>
      <w:numFmt w:val="bullet"/>
      <w:lvlText w:val="o"/>
      <w:lvlJc w:val="left"/>
      <w:pPr>
        <w:ind w:left="33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FA83A66">
      <w:start w:val="1"/>
      <w:numFmt w:val="bullet"/>
      <w:lvlText w:val="▪"/>
      <w:lvlJc w:val="left"/>
      <w:pPr>
        <w:ind w:left="40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474A3A8">
      <w:start w:val="1"/>
      <w:numFmt w:val="bullet"/>
      <w:lvlText w:val="•"/>
      <w:lvlJc w:val="left"/>
      <w:pPr>
        <w:ind w:left="47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669E3C">
      <w:start w:val="1"/>
      <w:numFmt w:val="bullet"/>
      <w:lvlText w:val="o"/>
      <w:lvlJc w:val="left"/>
      <w:pPr>
        <w:ind w:left="55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98CF7A">
      <w:start w:val="1"/>
      <w:numFmt w:val="bullet"/>
      <w:lvlText w:val="▪"/>
      <w:lvlJc w:val="left"/>
      <w:pPr>
        <w:ind w:left="62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F9A2A89"/>
    <w:multiLevelType w:val="hybridMultilevel"/>
    <w:tmpl w:val="0EBEEF9E"/>
    <w:lvl w:ilvl="0" w:tplc="14BCC7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32E39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36396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6E11C6">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04486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C84262">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C4780">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D02C4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400AC">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FEA1582"/>
    <w:multiLevelType w:val="hybridMultilevel"/>
    <w:tmpl w:val="BD4470FE"/>
    <w:lvl w:ilvl="0" w:tplc="5816BFC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84C46">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8A0F82">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473C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F8DC10">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00AF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ACF606">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CF12C">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05D02">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5"/>
  </w:num>
  <w:num w:numId="3">
    <w:abstractNumId w:val="12"/>
  </w:num>
  <w:num w:numId="4">
    <w:abstractNumId w:val="3"/>
  </w:num>
  <w:num w:numId="5">
    <w:abstractNumId w:val="10"/>
  </w:num>
  <w:num w:numId="6">
    <w:abstractNumId w:val="0"/>
  </w:num>
  <w:num w:numId="7">
    <w:abstractNumId w:val="1"/>
  </w:num>
  <w:num w:numId="8">
    <w:abstractNumId w:val="6"/>
  </w:num>
  <w:num w:numId="9">
    <w:abstractNumId w:val="4"/>
  </w:num>
  <w:num w:numId="10">
    <w:abstractNumId w:val="7"/>
  </w:num>
  <w:num w:numId="11">
    <w:abstractNumId w:val="9"/>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141CAD"/>
    <w:rsid w:val="001F3B14"/>
    <w:rsid w:val="0023724B"/>
    <w:rsid w:val="00283084"/>
    <w:rsid w:val="002B0D48"/>
    <w:rsid w:val="0032179F"/>
    <w:rsid w:val="00442A12"/>
    <w:rsid w:val="004C4E37"/>
    <w:rsid w:val="0057150F"/>
    <w:rsid w:val="005E2D42"/>
    <w:rsid w:val="0064605B"/>
    <w:rsid w:val="00AE684F"/>
    <w:rsid w:val="00AF1575"/>
    <w:rsid w:val="00E46846"/>
    <w:rsid w:val="00E81E7D"/>
    <w:rsid w:val="00FE20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9725"/>
  <w15:chartTrackingRefBased/>
  <w15:docId w15:val="{9CFF9F68-82EA-4193-8E86-10CFBE3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5B"/>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64605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23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5</cp:revision>
  <dcterms:created xsi:type="dcterms:W3CDTF">2021-02-12T17:47:00Z</dcterms:created>
  <dcterms:modified xsi:type="dcterms:W3CDTF">2021-02-12T17:51:00Z</dcterms:modified>
</cp:coreProperties>
</file>