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FE2001" w:rsidP="004C4E37">
            <w:pPr>
              <w:spacing w:after="0" w:line="259" w:lineRule="auto"/>
              <w:ind w:left="0" w:firstLine="0"/>
              <w:jc w:val="left"/>
            </w:pPr>
            <w:r>
              <w:rPr>
                <w:b/>
                <w:sz w:val="24"/>
              </w:rPr>
              <w:t>Bloc de compétences 3</w:t>
            </w:r>
            <w:r>
              <w:rPr>
                <w:rFonts w:ascii="Arial" w:eastAsia="Arial" w:hAnsi="Arial" w:cs="Arial"/>
                <w:b/>
                <w:sz w:val="24"/>
              </w:rPr>
              <w:t xml:space="preserve"> </w:t>
            </w:r>
            <w:r>
              <w:rPr>
                <w:b/>
                <w:sz w:val="24"/>
              </w:rPr>
              <w:t>: G</w:t>
            </w:r>
            <w:r>
              <w:rPr>
                <w:b/>
                <w:sz w:val="24"/>
              </w:rPr>
              <w:t>érer le personnel et participer à la gestion des ressources humaines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6A1F67">
            <w:pPr>
              <w:spacing w:after="0" w:line="259" w:lineRule="auto"/>
              <w:ind w:left="0" w:firstLine="0"/>
              <w:jc w:val="center"/>
              <w:rPr>
                <w:b/>
                <w:bCs/>
                <w:color w:val="00B0F0"/>
                <w:sz w:val="24"/>
                <w:szCs w:val="28"/>
              </w:rPr>
            </w:pPr>
            <w:r w:rsidRPr="00E81E7D">
              <w:rPr>
                <w:b/>
                <w:color w:val="00B0F0"/>
                <w:sz w:val="28"/>
                <w:szCs w:val="32"/>
              </w:rPr>
              <w:t xml:space="preserve">Savoirs </w:t>
            </w:r>
            <w:r w:rsidR="00F63BA0" w:rsidRPr="00F63BA0">
              <w:rPr>
                <w:b/>
                <w:color w:val="00B0F0"/>
                <w:sz w:val="28"/>
                <w:szCs w:val="32"/>
              </w:rPr>
              <w:t>S 3.4.  Les fonctionnalités du PGI et d’outils bureautiques (y compris tableur) et numériques</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63BA0" w:rsidRPr="00F63BA0" w:rsidRDefault="00F63BA0" w:rsidP="00F63BA0">
            <w:pPr>
              <w:spacing w:after="0" w:line="255" w:lineRule="auto"/>
              <w:ind w:left="2" w:right="102" w:firstLine="0"/>
              <w:rPr>
                <w:b/>
                <w:sz w:val="24"/>
                <w:szCs w:val="28"/>
              </w:rPr>
            </w:pPr>
            <w:proofErr w:type="gramStart"/>
            <w:r w:rsidRPr="00F63BA0">
              <w:rPr>
                <w:b/>
                <w:sz w:val="24"/>
                <w:szCs w:val="28"/>
              </w:rPr>
              <w:t>dans</w:t>
            </w:r>
            <w:proofErr w:type="gramEnd"/>
            <w:r w:rsidRPr="00F63BA0">
              <w:rPr>
                <w:b/>
                <w:sz w:val="24"/>
                <w:szCs w:val="28"/>
              </w:rPr>
              <w:t xml:space="preserve"> le cadre</w:t>
            </w:r>
            <w:r w:rsidRPr="00F63BA0">
              <w:rPr>
                <w:rFonts w:ascii="Arial" w:eastAsia="Arial" w:hAnsi="Arial" w:cs="Arial"/>
                <w:b/>
                <w:sz w:val="24"/>
                <w:szCs w:val="28"/>
              </w:rPr>
              <w:t xml:space="preserve"> </w:t>
            </w:r>
            <w:r w:rsidRPr="00F63BA0">
              <w:rPr>
                <w:b/>
                <w:sz w:val="24"/>
                <w:szCs w:val="28"/>
              </w:rPr>
              <w:t xml:space="preserve">: </w:t>
            </w:r>
          </w:p>
          <w:p w:rsidR="00F63BA0" w:rsidRPr="00F63BA0" w:rsidRDefault="00F63BA0" w:rsidP="00F63BA0">
            <w:pPr>
              <w:spacing w:after="0" w:line="255" w:lineRule="auto"/>
              <w:ind w:left="2" w:right="102" w:firstLine="0"/>
              <w:rPr>
                <w:sz w:val="28"/>
                <w:szCs w:val="28"/>
              </w:rPr>
            </w:pPr>
          </w:p>
          <w:p w:rsidR="00F63BA0" w:rsidRPr="00F63BA0" w:rsidRDefault="00F63BA0" w:rsidP="00F63BA0">
            <w:pPr>
              <w:spacing w:after="0" w:line="259" w:lineRule="auto"/>
              <w:jc w:val="left"/>
              <w:rPr>
                <w:sz w:val="28"/>
                <w:szCs w:val="28"/>
              </w:rPr>
            </w:pPr>
            <w:proofErr w:type="gramStart"/>
            <w:r w:rsidRPr="00F63BA0">
              <w:rPr>
                <w:sz w:val="24"/>
                <w:szCs w:val="28"/>
              </w:rPr>
              <w:t>de</w:t>
            </w:r>
            <w:proofErr w:type="gramEnd"/>
            <w:r w:rsidRPr="00F63BA0">
              <w:rPr>
                <w:sz w:val="24"/>
                <w:szCs w:val="28"/>
              </w:rPr>
              <w:t xml:space="preserve"> la </w:t>
            </w:r>
            <w:r w:rsidRPr="00F63BA0">
              <w:rPr>
                <w:sz w:val="28"/>
                <w:szCs w:val="32"/>
              </w:rPr>
              <w:t>gestion</w:t>
            </w:r>
            <w:r w:rsidRPr="00F63BA0">
              <w:rPr>
                <w:sz w:val="24"/>
                <w:szCs w:val="28"/>
              </w:rPr>
              <w:t xml:space="preserve"> du personnel </w:t>
            </w:r>
          </w:p>
          <w:p w:rsidR="00F63BA0" w:rsidRPr="00F63BA0" w:rsidRDefault="00F63BA0" w:rsidP="00F63BA0">
            <w:pPr>
              <w:spacing w:after="0" w:line="259" w:lineRule="auto"/>
              <w:jc w:val="left"/>
              <w:rPr>
                <w:sz w:val="24"/>
                <w:szCs w:val="28"/>
              </w:rPr>
            </w:pPr>
          </w:p>
          <w:p w:rsidR="0064605B" w:rsidRPr="00F63BA0" w:rsidRDefault="00F63BA0" w:rsidP="00F63BA0">
            <w:pPr>
              <w:spacing w:after="0" w:line="259" w:lineRule="auto"/>
              <w:jc w:val="left"/>
              <w:rPr>
                <w:b/>
                <w:bCs/>
                <w:sz w:val="24"/>
                <w:szCs w:val="28"/>
              </w:rPr>
            </w:pPr>
            <w:r w:rsidRPr="00F63BA0">
              <w:rPr>
                <w:sz w:val="24"/>
                <w:szCs w:val="28"/>
              </w:rPr>
              <w:t>de la gestion des ressources humaines</w:t>
            </w:r>
          </w:p>
        </w:tc>
        <w:tc>
          <w:tcPr>
            <w:tcW w:w="6390" w:type="dxa"/>
            <w:tcBorders>
              <w:top w:val="single" w:sz="8" w:space="0" w:color="000000"/>
              <w:left w:val="single" w:sz="8" w:space="0" w:color="000000"/>
              <w:bottom w:val="single" w:sz="8" w:space="0" w:color="000000"/>
              <w:right w:val="single" w:sz="8" w:space="0" w:color="000000"/>
            </w:tcBorders>
            <w:vAlign w:val="center"/>
          </w:tcPr>
          <w:p w:rsidR="00F63BA0" w:rsidRDefault="00F63BA0" w:rsidP="00F63BA0">
            <w:pPr>
              <w:spacing w:after="0" w:line="241" w:lineRule="auto"/>
              <w:ind w:left="0" w:right="108" w:firstLine="0"/>
              <w:rPr>
                <w:sz w:val="24"/>
                <w:szCs w:val="28"/>
              </w:rPr>
            </w:pPr>
            <w:r w:rsidRPr="00F63BA0">
              <w:rPr>
                <w:b/>
                <w:bCs/>
                <w:sz w:val="24"/>
                <w:szCs w:val="28"/>
              </w:rPr>
              <w:t>Les fonctionnalités d’un PGI</w:t>
            </w:r>
            <w:r w:rsidRPr="00F63BA0">
              <w:rPr>
                <w:sz w:val="24"/>
                <w:szCs w:val="28"/>
              </w:rPr>
              <w:t xml:space="preserve"> en matière de gestion du personnel et de gestion des ressources humaines sont abordées à la fois dans une dimension de gestion courante et plutôt quantitative (gestion des temps, gestion des activités, planification, administration du personnel...) et dans une dimension plus qualitative (formation, évolution des métiers, GPEC...). </w:t>
            </w:r>
          </w:p>
          <w:p w:rsidR="00F63BA0" w:rsidRPr="00F63BA0" w:rsidRDefault="00F63BA0" w:rsidP="00F63BA0">
            <w:pPr>
              <w:spacing w:after="0" w:line="241" w:lineRule="auto"/>
              <w:ind w:left="0" w:right="108" w:firstLine="0"/>
              <w:rPr>
                <w:sz w:val="28"/>
                <w:szCs w:val="28"/>
              </w:rPr>
            </w:pPr>
          </w:p>
          <w:p w:rsidR="0064605B" w:rsidRPr="003E2CD1" w:rsidRDefault="00F63BA0" w:rsidP="00F63BA0">
            <w:pPr>
              <w:pStyle w:val="Paragraphedeliste"/>
              <w:spacing w:after="0" w:line="241" w:lineRule="auto"/>
              <w:ind w:left="0" w:right="46" w:firstLine="0"/>
              <w:rPr>
                <w:b/>
                <w:bCs/>
                <w:sz w:val="24"/>
                <w:szCs w:val="28"/>
              </w:rPr>
            </w:pPr>
            <w:bookmarkStart w:id="0" w:name="_GoBack"/>
            <w:r w:rsidRPr="00F63BA0">
              <w:rPr>
                <w:b/>
                <w:bCs/>
                <w:sz w:val="24"/>
                <w:szCs w:val="28"/>
              </w:rPr>
              <w:t>Un logiciel de traitement d'enquêtes</w:t>
            </w:r>
            <w:r w:rsidRPr="00F63BA0">
              <w:rPr>
                <w:sz w:val="24"/>
                <w:szCs w:val="28"/>
              </w:rPr>
              <w:t xml:space="preserve"> </w:t>
            </w:r>
            <w:bookmarkEnd w:id="0"/>
            <w:r w:rsidRPr="00F63BA0">
              <w:rPr>
                <w:sz w:val="24"/>
                <w:szCs w:val="28"/>
              </w:rPr>
              <w:t>est mobilisé en fonction des besoins liés aux activités menées.</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6"/>
  </w:num>
  <w:num w:numId="3">
    <w:abstractNumId w:val="15"/>
  </w:num>
  <w:num w:numId="4">
    <w:abstractNumId w:val="4"/>
  </w:num>
  <w:num w:numId="5">
    <w:abstractNumId w:val="12"/>
  </w:num>
  <w:num w:numId="6">
    <w:abstractNumId w:val="0"/>
  </w:num>
  <w:num w:numId="7">
    <w:abstractNumId w:val="2"/>
  </w:num>
  <w:num w:numId="8">
    <w:abstractNumId w:val="7"/>
  </w:num>
  <w:num w:numId="9">
    <w:abstractNumId w:val="5"/>
  </w:num>
  <w:num w:numId="10">
    <w:abstractNumId w:val="8"/>
  </w:num>
  <w:num w:numId="11">
    <w:abstractNumId w:val="10"/>
  </w:num>
  <w:num w:numId="12">
    <w:abstractNumId w:val="14"/>
  </w:num>
  <w:num w:numId="13">
    <w:abstractNumId w:val="3"/>
  </w:num>
  <w:num w:numId="14">
    <w:abstractNumId w:val="9"/>
  </w:num>
  <w:num w:numId="15">
    <w:abstractNumId w:val="1"/>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41CAD"/>
    <w:rsid w:val="001F3B14"/>
    <w:rsid w:val="0023724B"/>
    <w:rsid w:val="00283084"/>
    <w:rsid w:val="002B0D48"/>
    <w:rsid w:val="0032179F"/>
    <w:rsid w:val="003E2CD1"/>
    <w:rsid w:val="00442A12"/>
    <w:rsid w:val="004C4E37"/>
    <w:rsid w:val="0057150F"/>
    <w:rsid w:val="005E2D42"/>
    <w:rsid w:val="0064605B"/>
    <w:rsid w:val="008179FD"/>
    <w:rsid w:val="00AE684F"/>
    <w:rsid w:val="00AF1575"/>
    <w:rsid w:val="00DE37A3"/>
    <w:rsid w:val="00E46846"/>
    <w:rsid w:val="00E81E7D"/>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uiPriority w:val="9"/>
    <w:rsid w:val="00F63BA0"/>
    <w:rPr>
      <w:rFonts w:ascii="Calibri" w:eastAsia="Calibri" w:hAnsi="Calibri" w:cs="Calibri"/>
      <w:b/>
      <w:color w:val="365F91"/>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2021-02-12T17:55:00Z</dcterms:created>
  <dcterms:modified xsi:type="dcterms:W3CDTF">2021-02-12T17:57:00Z</dcterms:modified>
</cp:coreProperties>
</file>