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3" w:type="dxa"/>
        <w:tblInd w:w="-861" w:type="dxa"/>
        <w:tblCellMar>
          <w:top w:w="148" w:type="dxa"/>
          <w:left w:w="98" w:type="dxa"/>
          <w:right w:w="57" w:type="dxa"/>
        </w:tblCellMar>
        <w:tblLook w:val="04A0" w:firstRow="1" w:lastRow="0" w:firstColumn="1" w:lastColumn="0" w:noHBand="0" w:noVBand="1"/>
      </w:tblPr>
      <w:tblGrid>
        <w:gridCol w:w="4253"/>
        <w:gridCol w:w="6390"/>
      </w:tblGrid>
      <w:tr w:rsidR="0064605B"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Default="000C24AE" w:rsidP="004C4E37">
            <w:pPr>
              <w:spacing w:after="0" w:line="259" w:lineRule="auto"/>
              <w:ind w:left="0" w:firstLine="0"/>
              <w:jc w:val="left"/>
            </w:pPr>
            <w:r>
              <w:rPr>
                <w:b/>
                <w:sz w:val="24"/>
              </w:rPr>
              <w:t>Bloc de compétences 4</w:t>
            </w:r>
            <w:r w:rsidR="00FE2001">
              <w:rPr>
                <w:rFonts w:ascii="Arial" w:eastAsia="Arial" w:hAnsi="Arial" w:cs="Arial"/>
                <w:b/>
                <w:sz w:val="24"/>
              </w:rPr>
              <w:t xml:space="preserve"> </w:t>
            </w:r>
            <w:r w:rsidR="00FE2001">
              <w:rPr>
                <w:b/>
                <w:sz w:val="24"/>
              </w:rPr>
              <w:t xml:space="preserve">: </w:t>
            </w:r>
            <w:r>
              <w:rPr>
                <w:b/>
                <w:sz w:val="24"/>
              </w:rPr>
              <w:t>S</w:t>
            </w:r>
            <w:r>
              <w:rPr>
                <w:b/>
                <w:sz w:val="24"/>
              </w:rPr>
              <w:t>outenir le fonctionnement et le développement de la pme</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sz w:val="28"/>
                <w:szCs w:val="32"/>
              </w:rPr>
            </w:pPr>
            <w:r w:rsidRPr="00301A3A">
              <w:rPr>
                <w:b/>
                <w:bCs/>
                <w:sz w:val="28"/>
                <w:szCs w:val="32"/>
              </w:rPr>
              <w:t xml:space="preserve"> Savoirs associés </w:t>
            </w:r>
          </w:p>
        </w:tc>
        <w:tc>
          <w:tcPr>
            <w:tcW w:w="6390"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rPr>
            </w:pPr>
            <w:r w:rsidRPr="00301A3A">
              <w:rPr>
                <w:b/>
                <w:bCs/>
                <w:sz w:val="24"/>
                <w:szCs w:val="28"/>
              </w:rPr>
              <w:t xml:space="preserve"> Limites des savoirs associés et recommandations pédagogiques </w:t>
            </w:r>
          </w:p>
        </w:tc>
      </w:tr>
      <w:tr w:rsidR="0064605B" w:rsidRPr="00671967"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Pr="00671967" w:rsidRDefault="000C24AE" w:rsidP="006A1F67">
            <w:pPr>
              <w:spacing w:after="0" w:line="259" w:lineRule="auto"/>
              <w:ind w:left="0" w:firstLine="0"/>
              <w:jc w:val="center"/>
              <w:rPr>
                <w:b/>
                <w:bCs/>
                <w:color w:val="00B0F0"/>
                <w:sz w:val="24"/>
                <w:szCs w:val="28"/>
              </w:rPr>
            </w:pPr>
            <w:r w:rsidRPr="000C24AE">
              <w:rPr>
                <w:b/>
                <w:color w:val="00B0F0"/>
                <w:sz w:val="28"/>
                <w:szCs w:val="32"/>
              </w:rPr>
              <w:t xml:space="preserve">Activité </w:t>
            </w:r>
            <w:r w:rsidR="00451BE5" w:rsidRPr="00451BE5">
              <w:rPr>
                <w:b/>
                <w:color w:val="00B0F0"/>
                <w:sz w:val="28"/>
                <w:szCs w:val="32"/>
              </w:rPr>
              <w:t>4.3. Participation au développement commercial national</w:t>
            </w:r>
            <w:r w:rsidR="00C85DEE">
              <w:rPr>
                <w:b/>
                <w:color w:val="00B0F0"/>
                <w:sz w:val="28"/>
                <w:szCs w:val="32"/>
              </w:rPr>
              <w:t xml:space="preserve"> </w:t>
            </w:r>
            <w:r w:rsidR="00C85DEE" w:rsidRPr="00C85DEE">
              <w:rPr>
                <w:b/>
                <w:color w:val="00B0F0"/>
                <w:sz w:val="28"/>
                <w:szCs w:val="32"/>
              </w:rPr>
              <w:t>ou international de la PME</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C85DEE" w:rsidRPr="00D63654" w:rsidRDefault="00C85DEE" w:rsidP="00C85DEE">
            <w:pPr>
              <w:spacing w:after="2" w:line="239" w:lineRule="auto"/>
              <w:ind w:left="2" w:right="600" w:firstLine="0"/>
              <w:jc w:val="left"/>
              <w:rPr>
                <w:color w:val="00B0F0"/>
                <w:sz w:val="24"/>
                <w:szCs w:val="28"/>
              </w:rPr>
            </w:pPr>
            <w:r w:rsidRPr="00D63654">
              <w:rPr>
                <w:b/>
                <w:color w:val="00B0F0"/>
                <w:sz w:val="24"/>
                <w:szCs w:val="28"/>
              </w:rPr>
              <w:t xml:space="preserve">S </w:t>
            </w:r>
            <w:r w:rsidRPr="00D63654">
              <w:rPr>
                <w:b/>
                <w:color w:val="00B0F0"/>
                <w:sz w:val="24"/>
                <w:szCs w:val="28"/>
              </w:rPr>
              <w:t xml:space="preserve">4.3.1 Le marché de l'entreprise </w:t>
            </w:r>
          </w:p>
          <w:p w:rsidR="00C85DEE" w:rsidRPr="00D63654" w:rsidRDefault="00C85DEE" w:rsidP="00C85DEE">
            <w:pPr>
              <w:spacing w:after="0" w:line="242" w:lineRule="auto"/>
              <w:ind w:left="2" w:right="70" w:firstLine="0"/>
              <w:jc w:val="left"/>
              <w:rPr>
                <w:sz w:val="24"/>
                <w:szCs w:val="28"/>
              </w:rPr>
            </w:pPr>
            <w:r w:rsidRPr="00D63654">
              <w:rPr>
                <w:sz w:val="24"/>
                <w:szCs w:val="28"/>
              </w:rPr>
              <w:t>- Structure et composantes du marché</w:t>
            </w:r>
          </w:p>
          <w:p w:rsidR="00C85DEE" w:rsidRPr="00D63654" w:rsidRDefault="00C85DEE" w:rsidP="00C85DEE">
            <w:pPr>
              <w:spacing w:after="0" w:line="242" w:lineRule="auto"/>
              <w:ind w:left="2" w:right="70" w:firstLine="0"/>
              <w:jc w:val="left"/>
              <w:rPr>
                <w:sz w:val="24"/>
                <w:szCs w:val="28"/>
              </w:rPr>
            </w:pPr>
            <w:r w:rsidRPr="00D63654">
              <w:rPr>
                <w:sz w:val="24"/>
                <w:szCs w:val="28"/>
              </w:rPr>
              <w:t xml:space="preserve"> - Veille technologique, juridique, </w:t>
            </w:r>
          </w:p>
          <w:p w:rsidR="0064605B" w:rsidRPr="00D63654" w:rsidRDefault="00C85DEE" w:rsidP="00C85DEE">
            <w:pPr>
              <w:spacing w:after="0" w:line="259" w:lineRule="auto"/>
              <w:jc w:val="left"/>
              <w:rPr>
                <w:b/>
                <w:bCs/>
                <w:sz w:val="24"/>
                <w:szCs w:val="28"/>
              </w:rPr>
            </w:pPr>
            <w:r w:rsidRPr="00D63654">
              <w:rPr>
                <w:sz w:val="24"/>
                <w:szCs w:val="28"/>
              </w:rPr>
              <w:t>commerciale</w:t>
            </w:r>
          </w:p>
        </w:tc>
        <w:tc>
          <w:tcPr>
            <w:tcW w:w="6390" w:type="dxa"/>
            <w:tcBorders>
              <w:top w:val="single" w:sz="8" w:space="0" w:color="000000"/>
              <w:left w:val="single" w:sz="8" w:space="0" w:color="000000"/>
              <w:bottom w:val="single" w:sz="8" w:space="0" w:color="000000"/>
              <w:right w:val="single" w:sz="8" w:space="0" w:color="000000"/>
            </w:tcBorders>
            <w:vAlign w:val="center"/>
          </w:tcPr>
          <w:p w:rsidR="00C85DEE" w:rsidRPr="00D63654" w:rsidRDefault="00C85DEE" w:rsidP="00C85DEE">
            <w:pPr>
              <w:spacing w:after="1" w:line="241" w:lineRule="auto"/>
              <w:ind w:left="0" w:right="50" w:firstLine="0"/>
              <w:rPr>
                <w:sz w:val="24"/>
                <w:szCs w:val="28"/>
              </w:rPr>
            </w:pPr>
            <w:r w:rsidRPr="00D63654">
              <w:rPr>
                <w:sz w:val="24"/>
                <w:szCs w:val="28"/>
              </w:rPr>
              <w:t xml:space="preserve">La spécificité intrinsèque de la PME doit être constamment présente à l’esprit pour cette partie commerciale, même si certains concepts trouvent plus facilement leur illustration à partir de situations vécues par des entreprises plus importantes </w:t>
            </w:r>
          </w:p>
          <w:p w:rsidR="00C85DEE" w:rsidRPr="00D63654" w:rsidRDefault="00C85DEE" w:rsidP="00C85DEE">
            <w:pPr>
              <w:spacing w:after="1" w:line="241" w:lineRule="auto"/>
              <w:ind w:left="0" w:right="47" w:firstLine="0"/>
              <w:rPr>
                <w:sz w:val="24"/>
                <w:szCs w:val="28"/>
              </w:rPr>
            </w:pPr>
            <w:r w:rsidRPr="00D63654">
              <w:rPr>
                <w:sz w:val="24"/>
                <w:szCs w:val="28"/>
              </w:rPr>
              <w:t xml:space="preserve"> L’offre et la demande sont appréhendées en termes qualitatif et quantitatif. Les indicateurs de mesure du marché (volume, valeur) et de la position d’une entreprise sur son marché sont à étudier. En l’absence d’études de marché offrant ces indicateurs pour une PME, il faut trouver d’autres indicateurs ou informations pertinentes permettant d’évaluer la position de la PME sur sa zone géographique, par rapport à sa cible de clientèle et ses concurrents. </w:t>
            </w:r>
          </w:p>
          <w:p w:rsidR="0064605B" w:rsidRPr="00D63654" w:rsidRDefault="0064605B" w:rsidP="00F63BA0">
            <w:pPr>
              <w:pStyle w:val="Paragraphedeliste"/>
              <w:spacing w:after="0" w:line="241" w:lineRule="auto"/>
              <w:ind w:left="0" w:right="46" w:firstLine="0"/>
              <w:rPr>
                <w:b/>
                <w:bCs/>
                <w:sz w:val="24"/>
                <w:szCs w:val="28"/>
              </w:rPr>
            </w:pPr>
          </w:p>
        </w:tc>
      </w:tr>
      <w:tr w:rsidR="000C24AE"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C85DEE" w:rsidRPr="00D63654" w:rsidRDefault="00C85DEE" w:rsidP="00C85DEE">
            <w:pPr>
              <w:spacing w:after="0" w:line="242" w:lineRule="auto"/>
              <w:ind w:left="2" w:firstLine="0"/>
              <w:jc w:val="left"/>
              <w:rPr>
                <w:color w:val="00B0F0"/>
                <w:sz w:val="24"/>
                <w:szCs w:val="28"/>
              </w:rPr>
            </w:pPr>
            <w:r w:rsidRPr="00D63654">
              <w:rPr>
                <w:b/>
                <w:color w:val="00B0F0"/>
                <w:sz w:val="24"/>
                <w:szCs w:val="28"/>
              </w:rPr>
              <w:t xml:space="preserve">S 4.3.2 La stratégie commerciale et sa mise en œuvre </w:t>
            </w:r>
          </w:p>
          <w:p w:rsidR="00C85DEE" w:rsidRPr="00D63654" w:rsidRDefault="00C85DEE" w:rsidP="00C85DEE">
            <w:pPr>
              <w:numPr>
                <w:ilvl w:val="0"/>
                <w:numId w:val="21"/>
              </w:numPr>
              <w:spacing w:after="1" w:line="240" w:lineRule="auto"/>
              <w:ind w:firstLine="0"/>
              <w:jc w:val="left"/>
              <w:rPr>
                <w:sz w:val="24"/>
                <w:szCs w:val="28"/>
              </w:rPr>
            </w:pPr>
            <w:r w:rsidRPr="00D63654">
              <w:rPr>
                <w:sz w:val="24"/>
                <w:szCs w:val="28"/>
              </w:rPr>
              <w:t xml:space="preserve">Stratégie générale, préalable à la stratégie commerciale (ciblage, positionnement, segmentation) </w:t>
            </w:r>
          </w:p>
          <w:p w:rsidR="00C85DEE" w:rsidRPr="00D63654" w:rsidRDefault="00C85DEE" w:rsidP="00C85DEE">
            <w:pPr>
              <w:numPr>
                <w:ilvl w:val="0"/>
                <w:numId w:val="21"/>
              </w:numPr>
              <w:spacing w:after="1" w:line="240" w:lineRule="auto"/>
              <w:ind w:firstLine="0"/>
              <w:jc w:val="left"/>
              <w:rPr>
                <w:sz w:val="24"/>
                <w:szCs w:val="28"/>
              </w:rPr>
            </w:pPr>
            <w:r w:rsidRPr="00D63654">
              <w:rPr>
                <w:sz w:val="24"/>
                <w:szCs w:val="28"/>
              </w:rPr>
              <w:t xml:space="preserve"> Diagnostic commercial, évolution du marché </w:t>
            </w:r>
          </w:p>
          <w:p w:rsidR="00C85DEE" w:rsidRPr="00D63654" w:rsidRDefault="00C85DEE" w:rsidP="00C85DEE">
            <w:pPr>
              <w:numPr>
                <w:ilvl w:val="0"/>
                <w:numId w:val="21"/>
              </w:numPr>
              <w:spacing w:after="0" w:line="259" w:lineRule="auto"/>
              <w:ind w:firstLine="0"/>
              <w:jc w:val="left"/>
              <w:rPr>
                <w:sz w:val="24"/>
                <w:szCs w:val="28"/>
              </w:rPr>
            </w:pPr>
            <w:r w:rsidRPr="00D63654">
              <w:rPr>
                <w:sz w:val="24"/>
                <w:szCs w:val="28"/>
              </w:rPr>
              <w:t xml:space="preserve">Plan de marchéage </w:t>
            </w:r>
          </w:p>
          <w:p w:rsidR="00C85DEE" w:rsidRPr="00D63654" w:rsidRDefault="00C85DEE" w:rsidP="00C85DEE">
            <w:pPr>
              <w:numPr>
                <w:ilvl w:val="0"/>
                <w:numId w:val="21"/>
              </w:numPr>
              <w:spacing w:after="0" w:line="259" w:lineRule="auto"/>
              <w:ind w:firstLine="0"/>
              <w:jc w:val="left"/>
              <w:rPr>
                <w:sz w:val="24"/>
                <w:szCs w:val="28"/>
              </w:rPr>
            </w:pPr>
            <w:r w:rsidRPr="00D63654">
              <w:rPr>
                <w:sz w:val="24"/>
                <w:szCs w:val="28"/>
              </w:rPr>
              <w:t xml:space="preserve">Analyse et prévision des ventes </w:t>
            </w:r>
          </w:p>
          <w:p w:rsidR="00096CCE" w:rsidRPr="00D63654" w:rsidRDefault="00096CCE" w:rsidP="000C24AE">
            <w:pPr>
              <w:spacing w:after="1" w:line="241" w:lineRule="auto"/>
              <w:ind w:left="2" w:right="146" w:firstLine="0"/>
              <w:jc w:val="left"/>
              <w:rPr>
                <w:b/>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C85DEE" w:rsidRPr="00D63654" w:rsidRDefault="00C85DEE" w:rsidP="00C85DEE">
            <w:pPr>
              <w:spacing w:after="1" w:line="241" w:lineRule="auto"/>
              <w:ind w:left="0" w:right="51" w:firstLine="0"/>
              <w:rPr>
                <w:sz w:val="24"/>
                <w:szCs w:val="28"/>
              </w:rPr>
            </w:pPr>
            <w:r w:rsidRPr="00D63654">
              <w:rPr>
                <w:sz w:val="24"/>
                <w:szCs w:val="28"/>
              </w:rPr>
              <w:t xml:space="preserve">Le couple produit/marché est l’axe de l’étude du portefeuille d’activités de l’entreprise qui doit permettre d’aborder les principaux facteurs d’évaluation d’un domaine d’activité (intérêt pour l’entreprise, compétitivité de l’entreprise…) </w:t>
            </w:r>
          </w:p>
          <w:p w:rsidR="00C85DEE" w:rsidRPr="00D63654" w:rsidRDefault="00D63654" w:rsidP="00C85DEE">
            <w:pPr>
              <w:spacing w:after="1" w:line="240" w:lineRule="auto"/>
              <w:ind w:left="0" w:right="53" w:firstLine="0"/>
              <w:rPr>
                <w:sz w:val="24"/>
                <w:szCs w:val="28"/>
              </w:rPr>
            </w:pPr>
            <w:r w:rsidRPr="00D63654">
              <w:rPr>
                <w:sz w:val="24"/>
                <w:szCs w:val="28"/>
              </w:rPr>
              <w:t xml:space="preserve"> Le diagnostic commercial </w:t>
            </w:r>
            <w:r w:rsidR="00C85DEE" w:rsidRPr="00D63654">
              <w:rPr>
                <w:sz w:val="24"/>
                <w:szCs w:val="28"/>
              </w:rPr>
              <w:t xml:space="preserve">se centre sur les performances de l’entreprise en s’appuyant sur la notoriété et l’image de l’entreprise, sur les ressources disponibles et sur l’analyse critique du plan d’actions mercatique suivi. </w:t>
            </w:r>
          </w:p>
          <w:p w:rsidR="00C85DEE" w:rsidRPr="00D63654" w:rsidRDefault="00C85DEE" w:rsidP="00C85DEE">
            <w:pPr>
              <w:spacing w:after="0" w:line="242" w:lineRule="auto"/>
              <w:ind w:left="0" w:firstLine="0"/>
              <w:jc w:val="left"/>
              <w:rPr>
                <w:sz w:val="24"/>
                <w:szCs w:val="28"/>
              </w:rPr>
            </w:pPr>
            <w:r w:rsidRPr="00D63654">
              <w:rPr>
                <w:sz w:val="24"/>
                <w:szCs w:val="28"/>
              </w:rPr>
              <w:t xml:space="preserve">Les forces et faiblesses, les menaces et opportunités sont clairement identifiées.  </w:t>
            </w:r>
          </w:p>
          <w:p w:rsidR="00C85DEE" w:rsidRPr="00D63654" w:rsidRDefault="00C85DEE" w:rsidP="00C85DEE">
            <w:pPr>
              <w:spacing w:after="1" w:line="241" w:lineRule="auto"/>
              <w:ind w:left="0" w:right="50" w:firstLine="0"/>
              <w:rPr>
                <w:sz w:val="24"/>
                <w:szCs w:val="28"/>
              </w:rPr>
            </w:pPr>
            <w:r w:rsidRPr="00D63654">
              <w:rPr>
                <w:sz w:val="24"/>
                <w:szCs w:val="28"/>
              </w:rPr>
              <w:t xml:space="preserve">Seules les études de marché adaptées et accessibles à la PME sont étudiées. Les méthodes non probabilistes sont étudiées à l’occasion d’enquêtes de satisfaction, prioritairement dans un contexte de relations interentreprises. Les méthodes probabilistes sont exclues. C’est l’occasion d’aborder un logiciel de traitement d’enquête et d’en appréhender les différentes fonctionnalités. </w:t>
            </w:r>
          </w:p>
          <w:p w:rsidR="00C85DEE" w:rsidRPr="00D63654" w:rsidRDefault="00C85DEE" w:rsidP="00C85DEE">
            <w:pPr>
              <w:spacing w:after="2" w:line="239" w:lineRule="auto"/>
              <w:ind w:left="0" w:firstLine="0"/>
              <w:jc w:val="left"/>
              <w:rPr>
                <w:sz w:val="24"/>
                <w:szCs w:val="28"/>
              </w:rPr>
            </w:pPr>
            <w:r w:rsidRPr="00D63654">
              <w:rPr>
                <w:sz w:val="24"/>
                <w:szCs w:val="28"/>
              </w:rPr>
              <w:t xml:space="preserve"> Les techniques permettant d’établir la prévision et l’analyse statistique de la production, des achats et des ventes de l’entreprise (paramètres de position</w:t>
            </w:r>
            <w:r w:rsidRPr="00D63654">
              <w:rPr>
                <w:sz w:val="24"/>
                <w:szCs w:val="28"/>
              </w:rPr>
              <w:t xml:space="preserve"> </w:t>
            </w:r>
            <w:r w:rsidRPr="00D63654">
              <w:rPr>
                <w:sz w:val="24"/>
                <w:szCs w:val="28"/>
              </w:rPr>
              <w:t xml:space="preserve">et de dispersion, prévisions des ventes par régression linéaire) sont enseignées. </w:t>
            </w:r>
          </w:p>
          <w:p w:rsidR="00096CCE" w:rsidRPr="00D63654" w:rsidRDefault="00C85DEE" w:rsidP="00D63654">
            <w:pPr>
              <w:spacing w:after="1" w:line="241" w:lineRule="auto"/>
              <w:ind w:left="0" w:right="52" w:firstLine="0"/>
              <w:rPr>
                <w:sz w:val="24"/>
                <w:szCs w:val="28"/>
              </w:rPr>
            </w:pPr>
            <w:r w:rsidRPr="00D63654">
              <w:rPr>
                <w:sz w:val="24"/>
                <w:szCs w:val="28"/>
              </w:rPr>
              <w:t xml:space="preserve">Les comparaisons ou prévisions quantitatives doivent être présentées en pourcentages et en indices (le calcul des indices n’est pas demandé). Pour les prévisions en valeur, on distingue la valorisation entre euros constants et euros courants. </w:t>
            </w:r>
            <w:bookmarkStart w:id="0" w:name="_GoBack"/>
            <w:bookmarkEnd w:id="0"/>
          </w:p>
        </w:tc>
      </w:tr>
      <w:tr w:rsidR="000C24AE"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C85DEE" w:rsidRPr="00D63654" w:rsidRDefault="00C85DEE" w:rsidP="00C85DEE">
            <w:pPr>
              <w:spacing w:after="0" w:line="259" w:lineRule="auto"/>
              <w:ind w:left="2" w:firstLine="0"/>
              <w:jc w:val="left"/>
              <w:rPr>
                <w:color w:val="00B0F0"/>
                <w:sz w:val="24"/>
                <w:szCs w:val="28"/>
              </w:rPr>
            </w:pPr>
            <w:r w:rsidRPr="00D63654">
              <w:rPr>
                <w:b/>
                <w:color w:val="00B0F0"/>
                <w:sz w:val="24"/>
                <w:szCs w:val="28"/>
              </w:rPr>
              <w:lastRenderedPageBreak/>
              <w:t xml:space="preserve">S 4.3.3 Les Techniques de fidélisation </w:t>
            </w:r>
          </w:p>
          <w:p w:rsidR="00C85DEE" w:rsidRPr="00D63654" w:rsidRDefault="00C85DEE" w:rsidP="008E6AAD">
            <w:pPr>
              <w:spacing w:after="0" w:line="259" w:lineRule="auto"/>
              <w:ind w:left="2" w:firstLine="0"/>
              <w:jc w:val="left"/>
              <w:rPr>
                <w:sz w:val="24"/>
                <w:szCs w:val="28"/>
              </w:rPr>
            </w:pPr>
            <w:r w:rsidRPr="00D63654">
              <w:rPr>
                <w:sz w:val="24"/>
                <w:szCs w:val="28"/>
              </w:rPr>
              <w:t xml:space="preserve">Méthodes d'évaluation de la satisfaction des clients </w:t>
            </w:r>
          </w:p>
          <w:p w:rsidR="00C85DEE" w:rsidRPr="00D63654" w:rsidRDefault="00C85DEE" w:rsidP="00C85DEE">
            <w:pPr>
              <w:spacing w:after="2" w:line="239" w:lineRule="auto"/>
              <w:ind w:left="2" w:right="717" w:firstLine="0"/>
              <w:jc w:val="left"/>
              <w:rPr>
                <w:sz w:val="24"/>
                <w:szCs w:val="28"/>
              </w:rPr>
            </w:pPr>
            <w:r w:rsidRPr="00D63654">
              <w:rPr>
                <w:sz w:val="24"/>
                <w:szCs w:val="28"/>
              </w:rPr>
              <w:t xml:space="preserve">Moyens de fidélisation </w:t>
            </w:r>
          </w:p>
          <w:p w:rsidR="000C24AE" w:rsidRPr="00D63654" w:rsidRDefault="00C85DEE" w:rsidP="00C85DEE">
            <w:pPr>
              <w:spacing w:after="0" w:line="259" w:lineRule="auto"/>
              <w:ind w:left="2" w:firstLine="0"/>
              <w:jc w:val="left"/>
              <w:rPr>
                <w:b/>
                <w:sz w:val="24"/>
                <w:szCs w:val="28"/>
              </w:rPr>
            </w:pPr>
            <w:r w:rsidRPr="00D63654">
              <w:rPr>
                <w:sz w:val="24"/>
                <w:szCs w:val="28"/>
              </w:rPr>
              <w:t>Rentabilité d'une opération de fidélisation de la clientèle</w:t>
            </w:r>
          </w:p>
        </w:tc>
        <w:tc>
          <w:tcPr>
            <w:tcW w:w="6390" w:type="dxa"/>
            <w:tcBorders>
              <w:top w:val="single" w:sz="8" w:space="0" w:color="000000"/>
              <w:left w:val="single" w:sz="8" w:space="0" w:color="000000"/>
              <w:bottom w:val="single" w:sz="8" w:space="0" w:color="000000"/>
              <w:right w:val="single" w:sz="8" w:space="0" w:color="000000"/>
            </w:tcBorders>
            <w:vAlign w:val="center"/>
          </w:tcPr>
          <w:p w:rsidR="000C24AE" w:rsidRPr="00D63654" w:rsidRDefault="008E6AAD" w:rsidP="00096CCE">
            <w:pPr>
              <w:spacing w:after="0" w:line="242" w:lineRule="auto"/>
              <w:ind w:left="0" w:right="52" w:firstLine="0"/>
              <w:rPr>
                <w:sz w:val="24"/>
                <w:szCs w:val="28"/>
              </w:rPr>
            </w:pPr>
            <w:r w:rsidRPr="00D63654">
              <w:rPr>
                <w:sz w:val="24"/>
                <w:szCs w:val="28"/>
              </w:rPr>
              <w:t>Pour les techniques de fidélisation, on retiendra les méthodes d’évaluation (enquête de satisfaction, analyse des réclamations…) et les moyens de fidélisation (cadeaux, actions sur le prix, services associés…) les plus adaptés à la PME. La rentabilité d’une opération de fidélisation est évaluée à partir d’indicateurs pertinents.</w:t>
            </w:r>
          </w:p>
        </w:tc>
      </w:tr>
    </w:tbl>
    <w:p w:rsidR="00442A12" w:rsidRDefault="00442A12"/>
    <w:sectPr w:rsidR="00442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104"/>
    <w:multiLevelType w:val="hybridMultilevel"/>
    <w:tmpl w:val="EBF4A4F4"/>
    <w:lvl w:ilvl="0" w:tplc="D77C537C">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C80FF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DCCC4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C6602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EAFF3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78235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D6904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DA2F5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34FE8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C4244C"/>
    <w:multiLevelType w:val="hybridMultilevel"/>
    <w:tmpl w:val="45F88FF8"/>
    <w:lvl w:ilvl="0" w:tplc="BB9CD7B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C045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5E36D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B2F94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220EE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EC396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447A56">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5CC4A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2A07F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ED58B1"/>
    <w:multiLevelType w:val="hybridMultilevel"/>
    <w:tmpl w:val="85103C34"/>
    <w:lvl w:ilvl="0" w:tplc="E10E5B9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A85812">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0E8E6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445AB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ACAA2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6838C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9AC76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82F5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64BCF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712B4F"/>
    <w:multiLevelType w:val="hybridMultilevel"/>
    <w:tmpl w:val="5A341670"/>
    <w:lvl w:ilvl="0" w:tplc="0E3092C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EE84E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20807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F8305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0A890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5614B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46B3C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6444D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46D6D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770226"/>
    <w:multiLevelType w:val="hybridMultilevel"/>
    <w:tmpl w:val="19BEF6BC"/>
    <w:lvl w:ilvl="0" w:tplc="2EFCF042">
      <w:start w:val="1"/>
      <w:numFmt w:val="bullet"/>
      <w:lvlText w:val="-"/>
      <w:lvlJc w:val="left"/>
      <w:pPr>
        <w:ind w:left="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6418F2">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564A4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90A88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429EE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A82AF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42F36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4C7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02675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AC2FA4"/>
    <w:multiLevelType w:val="hybridMultilevel"/>
    <w:tmpl w:val="CCB859EE"/>
    <w:lvl w:ilvl="0" w:tplc="7E3AFDA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4621B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4E554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72774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0EDD80">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38120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58BF6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B4F77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B21B4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D667B5D"/>
    <w:multiLevelType w:val="hybridMultilevel"/>
    <w:tmpl w:val="E70E9ACA"/>
    <w:lvl w:ilvl="0" w:tplc="DDE2A27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04F63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948EF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7E53A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02B3F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DC184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F41EB4">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30BD8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E4484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33B4204"/>
    <w:multiLevelType w:val="hybridMultilevel"/>
    <w:tmpl w:val="C3367FDC"/>
    <w:lvl w:ilvl="0" w:tplc="B7F4C4FE">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A2CC1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8871B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3A292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C27CD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0E8EF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BA4B42">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845E3A">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0E51AC">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A0246BD"/>
    <w:multiLevelType w:val="hybridMultilevel"/>
    <w:tmpl w:val="C666BF1A"/>
    <w:lvl w:ilvl="0" w:tplc="E0C47ADE">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CC443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B46CA2">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C43B6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324E8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22A21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3C887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06504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6EB0B2">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672723F"/>
    <w:multiLevelType w:val="hybridMultilevel"/>
    <w:tmpl w:val="35F8BA6E"/>
    <w:lvl w:ilvl="0" w:tplc="83D2A27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46B654">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2E4D2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3ECE9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ACC8F2">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44864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12C25A">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14CD3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0390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4187CDC"/>
    <w:multiLevelType w:val="hybridMultilevel"/>
    <w:tmpl w:val="904072B4"/>
    <w:lvl w:ilvl="0" w:tplc="E2F6773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CB7C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5C250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1EB90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DA2DC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B6D6A4">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92490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92F97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A478F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9144017"/>
    <w:multiLevelType w:val="hybridMultilevel"/>
    <w:tmpl w:val="D7C4249A"/>
    <w:lvl w:ilvl="0" w:tplc="739EFDE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7623EE">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4ACAC">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58D4B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84A5C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F0FFA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8A6E5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FA272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8468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C8F4EA5"/>
    <w:multiLevelType w:val="hybridMultilevel"/>
    <w:tmpl w:val="1490311E"/>
    <w:lvl w:ilvl="0" w:tplc="2E98F05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E6331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54BD7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1C949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2A65F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E4D11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D817E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BEECAE">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CA313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5990B33"/>
    <w:multiLevelType w:val="hybridMultilevel"/>
    <w:tmpl w:val="B56C7C34"/>
    <w:lvl w:ilvl="0" w:tplc="54F22A7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1AE42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52B81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8CFF1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D8ECC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40EFF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1204C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A6752">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C012A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A6070BF"/>
    <w:multiLevelType w:val="hybridMultilevel"/>
    <w:tmpl w:val="61300784"/>
    <w:lvl w:ilvl="0" w:tplc="937C918A">
      <w:start w:val="1"/>
      <w:numFmt w:val="bullet"/>
      <w:lvlText w:val="-"/>
      <w:lvlJc w:val="left"/>
      <w:pPr>
        <w:ind w:left="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BA965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50982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B64DE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8A9C2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76814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4C928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5A667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C2CE5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BFF0DB1"/>
    <w:multiLevelType w:val="hybridMultilevel"/>
    <w:tmpl w:val="F36ADD0A"/>
    <w:lvl w:ilvl="0" w:tplc="49ACA3E4">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3C0BD8">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684C3A">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520B2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A8481C">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70325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788C38">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B46638">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9A68EA">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EB046BD"/>
    <w:multiLevelType w:val="hybridMultilevel"/>
    <w:tmpl w:val="01B252A2"/>
    <w:lvl w:ilvl="0" w:tplc="61627E66">
      <w:start w:val="1"/>
      <w:numFmt w:val="bullet"/>
      <w:lvlText w:val="-"/>
      <w:lvlJc w:val="left"/>
      <w:pPr>
        <w:ind w:left="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DADFFE">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DCBB6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BCC40E">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38E9D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106C3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3CF7B2">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188D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A0EAE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1DA2226"/>
    <w:multiLevelType w:val="hybridMultilevel"/>
    <w:tmpl w:val="8E2A4C36"/>
    <w:lvl w:ilvl="0" w:tplc="3390622A">
      <w:start w:val="1"/>
      <w:numFmt w:val="bullet"/>
      <w:lvlText w:val="-"/>
      <w:lvlJc w:val="left"/>
      <w:pPr>
        <w:ind w:left="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EBCD05E">
      <w:start w:val="1"/>
      <w:numFmt w:val="bullet"/>
      <w:lvlText w:val="o"/>
      <w:lvlJc w:val="left"/>
      <w:pPr>
        <w:ind w:left="11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01A8C6C">
      <w:start w:val="1"/>
      <w:numFmt w:val="bullet"/>
      <w:lvlText w:val="▪"/>
      <w:lvlJc w:val="left"/>
      <w:pPr>
        <w:ind w:left="19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64EC208">
      <w:start w:val="1"/>
      <w:numFmt w:val="bullet"/>
      <w:lvlText w:val="•"/>
      <w:lvlJc w:val="left"/>
      <w:pPr>
        <w:ind w:left="26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61E2BC0">
      <w:start w:val="1"/>
      <w:numFmt w:val="bullet"/>
      <w:lvlText w:val="o"/>
      <w:lvlJc w:val="left"/>
      <w:pPr>
        <w:ind w:left="33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FA83A66">
      <w:start w:val="1"/>
      <w:numFmt w:val="bullet"/>
      <w:lvlText w:val="▪"/>
      <w:lvlJc w:val="left"/>
      <w:pPr>
        <w:ind w:left="40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474A3A8">
      <w:start w:val="1"/>
      <w:numFmt w:val="bullet"/>
      <w:lvlText w:val="•"/>
      <w:lvlJc w:val="left"/>
      <w:pPr>
        <w:ind w:left="47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4669E3C">
      <w:start w:val="1"/>
      <w:numFmt w:val="bullet"/>
      <w:lvlText w:val="o"/>
      <w:lvlJc w:val="left"/>
      <w:pPr>
        <w:ind w:left="55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598CF7A">
      <w:start w:val="1"/>
      <w:numFmt w:val="bullet"/>
      <w:lvlText w:val="▪"/>
      <w:lvlJc w:val="left"/>
      <w:pPr>
        <w:ind w:left="62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F9A2A89"/>
    <w:multiLevelType w:val="hybridMultilevel"/>
    <w:tmpl w:val="0EBEEF9E"/>
    <w:lvl w:ilvl="0" w:tplc="14BCC75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32E39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36396E">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6E11C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044864">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C84262">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FC4780">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D02C4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400A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A846C29"/>
    <w:multiLevelType w:val="hybridMultilevel"/>
    <w:tmpl w:val="5BC4F5CE"/>
    <w:lvl w:ilvl="0" w:tplc="A81E2F68">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1C771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E0B6D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64FCF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D89480">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5C727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62604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F6DA4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0A90C2">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EF960FA"/>
    <w:multiLevelType w:val="hybridMultilevel"/>
    <w:tmpl w:val="7DEE9B94"/>
    <w:lvl w:ilvl="0" w:tplc="87B0FD5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90D988">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8E254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F02B6E">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E4EE9A">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E635B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A0076E">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7A486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6A5170">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FEA1582"/>
    <w:multiLevelType w:val="hybridMultilevel"/>
    <w:tmpl w:val="BD4470FE"/>
    <w:lvl w:ilvl="0" w:tplc="5816BFC0">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484C4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8A0F82">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473CC">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F8DC10">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D00AF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ACF606">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5CF12C">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05D02">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1"/>
  </w:num>
  <w:num w:numId="2">
    <w:abstractNumId w:val="9"/>
  </w:num>
  <w:num w:numId="3">
    <w:abstractNumId w:val="18"/>
  </w:num>
  <w:num w:numId="4">
    <w:abstractNumId w:val="6"/>
  </w:num>
  <w:num w:numId="5">
    <w:abstractNumId w:val="15"/>
  </w:num>
  <w:num w:numId="6">
    <w:abstractNumId w:val="0"/>
  </w:num>
  <w:num w:numId="7">
    <w:abstractNumId w:val="3"/>
  </w:num>
  <w:num w:numId="8">
    <w:abstractNumId w:val="10"/>
  </w:num>
  <w:num w:numId="9">
    <w:abstractNumId w:val="7"/>
  </w:num>
  <w:num w:numId="10">
    <w:abstractNumId w:val="11"/>
  </w:num>
  <w:num w:numId="11">
    <w:abstractNumId w:val="13"/>
  </w:num>
  <w:num w:numId="12">
    <w:abstractNumId w:val="17"/>
  </w:num>
  <w:num w:numId="13">
    <w:abstractNumId w:val="4"/>
  </w:num>
  <w:num w:numId="14">
    <w:abstractNumId w:val="12"/>
  </w:num>
  <w:num w:numId="15">
    <w:abstractNumId w:val="1"/>
  </w:num>
  <w:num w:numId="16">
    <w:abstractNumId w:val="20"/>
  </w:num>
  <w:num w:numId="17">
    <w:abstractNumId w:val="16"/>
  </w:num>
  <w:num w:numId="18">
    <w:abstractNumId w:val="14"/>
  </w:num>
  <w:num w:numId="19">
    <w:abstractNumId w:val="8"/>
  </w:num>
  <w:num w:numId="20">
    <w:abstractNumId w:val="5"/>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5B"/>
    <w:rsid w:val="00000037"/>
    <w:rsid w:val="00096CCE"/>
    <w:rsid w:val="000C24AE"/>
    <w:rsid w:val="00141CAD"/>
    <w:rsid w:val="001F3B14"/>
    <w:rsid w:val="0023724B"/>
    <w:rsid w:val="00283084"/>
    <w:rsid w:val="002B0D48"/>
    <w:rsid w:val="0032179F"/>
    <w:rsid w:val="003E2CD1"/>
    <w:rsid w:val="00442A12"/>
    <w:rsid w:val="00451BE5"/>
    <w:rsid w:val="004C4E37"/>
    <w:rsid w:val="0057150F"/>
    <w:rsid w:val="005E2D42"/>
    <w:rsid w:val="0064605B"/>
    <w:rsid w:val="008179FD"/>
    <w:rsid w:val="008E6AAD"/>
    <w:rsid w:val="00AE684F"/>
    <w:rsid w:val="00AF1575"/>
    <w:rsid w:val="00C85DEE"/>
    <w:rsid w:val="00CD2A52"/>
    <w:rsid w:val="00D63654"/>
    <w:rsid w:val="00DE37A3"/>
    <w:rsid w:val="00E0345E"/>
    <w:rsid w:val="00E46846"/>
    <w:rsid w:val="00E81E7D"/>
    <w:rsid w:val="00F63BA0"/>
    <w:rsid w:val="00FE20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9725"/>
  <w15:chartTrackingRefBased/>
  <w15:docId w15:val="{9CFF9F68-82EA-4193-8E86-10CFBE39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5B"/>
    <w:pPr>
      <w:spacing w:after="5" w:line="269" w:lineRule="auto"/>
      <w:ind w:left="10" w:hanging="10"/>
      <w:jc w:val="both"/>
    </w:pPr>
    <w:rPr>
      <w:rFonts w:ascii="Calibri" w:eastAsia="Calibri" w:hAnsi="Calibri" w:cs="Calibri"/>
      <w:color w:val="000000"/>
      <w:lang w:eastAsia="fr-FR"/>
    </w:rPr>
  </w:style>
  <w:style w:type="paragraph" w:styleId="Titre2">
    <w:name w:val="heading 2"/>
    <w:next w:val="Normal"/>
    <w:link w:val="Titre2Car"/>
    <w:uiPriority w:val="9"/>
    <w:unhideWhenUsed/>
    <w:qFormat/>
    <w:rsid w:val="00F63BA0"/>
    <w:pPr>
      <w:keepNext/>
      <w:keepLines/>
      <w:spacing w:after="15" w:line="249" w:lineRule="auto"/>
      <w:ind w:left="10" w:hanging="10"/>
      <w:outlineLvl w:val="1"/>
    </w:pPr>
    <w:rPr>
      <w:rFonts w:ascii="Calibri" w:eastAsia="Calibri" w:hAnsi="Calibri" w:cs="Calibri"/>
      <w:b/>
      <w:color w:val="365F91"/>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64605B"/>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23724B"/>
    <w:pPr>
      <w:ind w:left="720"/>
      <w:contextualSpacing/>
    </w:pPr>
  </w:style>
  <w:style w:type="character" w:customStyle="1" w:styleId="Titre2Car">
    <w:name w:val="Titre 2 Car"/>
    <w:basedOn w:val="Policepardfaut"/>
    <w:link w:val="Titre2"/>
    <w:uiPriority w:val="9"/>
    <w:rsid w:val="00F63BA0"/>
    <w:rPr>
      <w:rFonts w:ascii="Calibri" w:eastAsia="Calibri" w:hAnsi="Calibri" w:cs="Calibri"/>
      <w:b/>
      <w:color w:val="365F91"/>
      <w:sz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2767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4</cp:revision>
  <dcterms:created xsi:type="dcterms:W3CDTF">2021-02-12T18:12:00Z</dcterms:created>
  <dcterms:modified xsi:type="dcterms:W3CDTF">2021-02-12T18:16:00Z</dcterms:modified>
</cp:coreProperties>
</file>