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C24AE" w:rsidP="004C4E37">
            <w:pPr>
              <w:spacing w:after="0" w:line="259" w:lineRule="auto"/>
              <w:ind w:left="0" w:firstLine="0"/>
              <w:jc w:val="left"/>
            </w:pPr>
            <w:r>
              <w:rPr>
                <w:b/>
                <w:sz w:val="24"/>
              </w:rPr>
              <w:t>Bloc de compétences 4</w:t>
            </w:r>
            <w:r w:rsidR="00FE2001">
              <w:rPr>
                <w:rFonts w:ascii="Arial" w:eastAsia="Arial" w:hAnsi="Arial" w:cs="Arial"/>
                <w:b/>
                <w:sz w:val="24"/>
              </w:rPr>
              <w:t xml:space="preserve"> </w:t>
            </w:r>
            <w:r w:rsidR="00FE2001">
              <w:rPr>
                <w:b/>
                <w:sz w:val="24"/>
              </w:rPr>
              <w:t xml:space="preserve">: </w:t>
            </w:r>
            <w:r>
              <w:rPr>
                <w:b/>
                <w:sz w:val="24"/>
              </w:rPr>
              <w:t>S</w:t>
            </w:r>
            <w:r>
              <w:rPr>
                <w:b/>
                <w:sz w:val="24"/>
              </w:rPr>
              <w:t>outenir le fonctionnement et le développement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0C24AE" w:rsidP="006A1F67">
            <w:pPr>
              <w:spacing w:after="0" w:line="259" w:lineRule="auto"/>
              <w:ind w:left="0" w:firstLine="0"/>
              <w:jc w:val="center"/>
              <w:rPr>
                <w:b/>
                <w:bCs/>
                <w:color w:val="00B0F0"/>
                <w:sz w:val="24"/>
                <w:szCs w:val="28"/>
              </w:rPr>
            </w:pPr>
            <w:r w:rsidRPr="000C24AE">
              <w:rPr>
                <w:b/>
                <w:color w:val="00B0F0"/>
                <w:sz w:val="28"/>
                <w:szCs w:val="32"/>
              </w:rPr>
              <w:t xml:space="preserve">Activité </w:t>
            </w:r>
            <w:r w:rsidR="003373A3" w:rsidRPr="003373A3">
              <w:rPr>
                <w:b/>
                <w:color w:val="00B0F0"/>
                <w:sz w:val="28"/>
                <w:szCs w:val="32"/>
              </w:rPr>
              <w:t>4.4. : Contribution à la mise en œuvre de la communication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0" w:line="242" w:lineRule="auto"/>
              <w:ind w:left="2" w:firstLine="0"/>
              <w:jc w:val="left"/>
              <w:rPr>
                <w:color w:val="00B0F0"/>
                <w:sz w:val="24"/>
                <w:szCs w:val="28"/>
              </w:rPr>
            </w:pPr>
            <w:r w:rsidRPr="00B8465D">
              <w:rPr>
                <w:b/>
                <w:color w:val="00B0F0"/>
                <w:sz w:val="24"/>
                <w:szCs w:val="28"/>
              </w:rPr>
              <w:t xml:space="preserve">S 4.4.1 Communication globale et identité de l’entreprise </w:t>
            </w:r>
          </w:p>
          <w:p w:rsidR="00904C03" w:rsidRPr="00B8465D" w:rsidRDefault="00904C03" w:rsidP="00904C03">
            <w:pPr>
              <w:numPr>
                <w:ilvl w:val="0"/>
                <w:numId w:val="23"/>
              </w:numPr>
              <w:spacing w:after="1" w:line="241" w:lineRule="auto"/>
              <w:ind w:firstLine="0"/>
              <w:jc w:val="left"/>
              <w:rPr>
                <w:sz w:val="24"/>
                <w:szCs w:val="28"/>
              </w:rPr>
            </w:pPr>
            <w:r w:rsidRPr="00B8465D">
              <w:rPr>
                <w:sz w:val="24"/>
                <w:szCs w:val="28"/>
              </w:rPr>
              <w:t xml:space="preserve">Enjeux de la communication globale et stratégie de communication : la construction d’une identité de l’entreprise </w:t>
            </w:r>
          </w:p>
          <w:p w:rsidR="00904C03" w:rsidRPr="00B8465D" w:rsidRDefault="00904C03" w:rsidP="00904C03">
            <w:pPr>
              <w:numPr>
                <w:ilvl w:val="0"/>
                <w:numId w:val="23"/>
              </w:numPr>
              <w:spacing w:after="0" w:line="242" w:lineRule="auto"/>
              <w:ind w:firstLine="0"/>
              <w:jc w:val="left"/>
              <w:rPr>
                <w:sz w:val="24"/>
                <w:szCs w:val="28"/>
              </w:rPr>
            </w:pPr>
            <w:r w:rsidRPr="00B8465D">
              <w:rPr>
                <w:sz w:val="24"/>
                <w:szCs w:val="28"/>
              </w:rPr>
              <w:t xml:space="preserve">Notion d’image et moyens de communication, E-réputation </w:t>
            </w:r>
          </w:p>
          <w:p w:rsidR="00904C03" w:rsidRPr="00B8465D" w:rsidRDefault="00904C03" w:rsidP="00904C03">
            <w:pPr>
              <w:numPr>
                <w:ilvl w:val="0"/>
                <w:numId w:val="23"/>
              </w:numPr>
              <w:spacing w:after="0" w:line="242" w:lineRule="auto"/>
              <w:ind w:firstLine="0"/>
              <w:jc w:val="left"/>
              <w:rPr>
                <w:sz w:val="24"/>
                <w:szCs w:val="28"/>
              </w:rPr>
            </w:pPr>
            <w:r w:rsidRPr="00B8465D">
              <w:rPr>
                <w:sz w:val="24"/>
                <w:szCs w:val="28"/>
              </w:rPr>
              <w:t xml:space="preserve">Tableau de bord de la communication </w:t>
            </w:r>
          </w:p>
          <w:p w:rsidR="00904C03" w:rsidRPr="00B8465D" w:rsidRDefault="00904C03" w:rsidP="00904C03">
            <w:pPr>
              <w:numPr>
                <w:ilvl w:val="0"/>
                <w:numId w:val="23"/>
              </w:numPr>
              <w:spacing w:after="0" w:line="259" w:lineRule="auto"/>
              <w:ind w:firstLine="0"/>
              <w:jc w:val="left"/>
              <w:rPr>
                <w:sz w:val="24"/>
                <w:szCs w:val="28"/>
              </w:rPr>
            </w:pPr>
            <w:r w:rsidRPr="00B8465D">
              <w:rPr>
                <w:sz w:val="24"/>
                <w:szCs w:val="28"/>
              </w:rPr>
              <w:t xml:space="preserve"> Définition, typologie et objectifs d’un plan de communication </w:t>
            </w:r>
          </w:p>
          <w:p w:rsidR="0064605B" w:rsidRPr="00B8465D" w:rsidRDefault="0064605B" w:rsidP="00C85DEE">
            <w:pPr>
              <w:spacing w:after="0" w:line="259" w:lineRule="auto"/>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0" w:line="251" w:lineRule="auto"/>
              <w:ind w:left="0" w:right="45" w:firstLine="0"/>
              <w:rPr>
                <w:sz w:val="24"/>
                <w:szCs w:val="28"/>
              </w:rPr>
            </w:pPr>
            <w:r w:rsidRPr="00B8465D">
              <w:rPr>
                <w:sz w:val="24"/>
                <w:szCs w:val="28"/>
              </w:rPr>
              <w:t>Les enjeux de la communication globale et la stratégie de communication sont réactivés et abordés sous l’angle de l’identité de l’entreprise.  Dans toutes les situations, il est indispensable de ne se référer qu’à des situations de PME. L’identité de l’entreprise peut être appréhendée comme</w:t>
            </w:r>
            <w:r w:rsidRPr="00B8465D">
              <w:rPr>
                <w:rFonts w:ascii="Arial" w:eastAsia="Arial" w:hAnsi="Arial" w:cs="Arial"/>
                <w:sz w:val="24"/>
                <w:szCs w:val="28"/>
              </w:rPr>
              <w:t xml:space="preserve"> </w:t>
            </w:r>
            <w:r w:rsidRPr="00B8465D">
              <w:rPr>
                <w:sz w:val="24"/>
                <w:szCs w:val="28"/>
              </w:rPr>
              <w:t>» l’ensemble de caractéristiques interdépendantes qui donnent à [une] organisation sa spécificité, sa stabilité et sa cohérence et la rendent ainsi identifiable</w:t>
            </w:r>
            <w:r w:rsidRPr="00B8465D">
              <w:rPr>
                <w:rFonts w:ascii="Arial" w:eastAsia="Arial" w:hAnsi="Arial" w:cs="Arial"/>
                <w:sz w:val="24"/>
                <w:szCs w:val="28"/>
              </w:rPr>
              <w:t xml:space="preserve"> </w:t>
            </w:r>
            <w:r w:rsidRPr="00B8465D">
              <w:rPr>
                <w:sz w:val="24"/>
                <w:szCs w:val="28"/>
              </w:rPr>
              <w:t xml:space="preserve">» </w:t>
            </w:r>
            <w:proofErr w:type="spellStart"/>
            <w:r w:rsidRPr="00B8465D">
              <w:rPr>
                <w:sz w:val="24"/>
                <w:szCs w:val="28"/>
              </w:rPr>
              <w:t>Moingeon</w:t>
            </w:r>
            <w:proofErr w:type="spellEnd"/>
            <w:r w:rsidRPr="00B8465D">
              <w:rPr>
                <w:sz w:val="24"/>
                <w:szCs w:val="28"/>
              </w:rPr>
              <w:t xml:space="preserve"> et </w:t>
            </w:r>
            <w:proofErr w:type="spellStart"/>
            <w:r w:rsidRPr="00B8465D">
              <w:rPr>
                <w:sz w:val="24"/>
                <w:szCs w:val="28"/>
              </w:rPr>
              <w:t>Ramanantsoa</w:t>
            </w:r>
            <w:proofErr w:type="spellEnd"/>
            <w:r w:rsidRPr="00B8465D">
              <w:rPr>
                <w:sz w:val="24"/>
                <w:szCs w:val="28"/>
              </w:rPr>
              <w:t xml:space="preserve">, 1997. </w:t>
            </w:r>
          </w:p>
          <w:p w:rsidR="00904C03" w:rsidRPr="00B8465D" w:rsidRDefault="00904C03" w:rsidP="00904C03">
            <w:pPr>
              <w:spacing w:after="0" w:line="259" w:lineRule="auto"/>
              <w:ind w:left="0" w:firstLine="0"/>
              <w:jc w:val="left"/>
              <w:rPr>
                <w:sz w:val="24"/>
                <w:szCs w:val="28"/>
              </w:rPr>
            </w:pPr>
            <w:r w:rsidRPr="00B8465D">
              <w:rPr>
                <w:sz w:val="24"/>
                <w:szCs w:val="28"/>
              </w:rPr>
              <w:t xml:space="preserve"> </w:t>
            </w:r>
          </w:p>
          <w:p w:rsidR="00904C03" w:rsidRPr="00B8465D" w:rsidRDefault="00904C03" w:rsidP="00904C03">
            <w:pPr>
              <w:spacing w:after="0" w:line="242" w:lineRule="auto"/>
              <w:ind w:left="0" w:right="55" w:firstLine="0"/>
              <w:rPr>
                <w:sz w:val="24"/>
                <w:szCs w:val="28"/>
              </w:rPr>
            </w:pPr>
            <w:r w:rsidRPr="00B8465D">
              <w:rPr>
                <w:sz w:val="24"/>
                <w:szCs w:val="28"/>
              </w:rPr>
              <w:t xml:space="preserve">L’identité d’entreprise influence le développement, la gouvernance et la stratégie d’une organisation.  Elle constitue aussi un ensemble d’éléments d’identification et de différenciation pour les parties prenantes. </w:t>
            </w:r>
          </w:p>
          <w:p w:rsidR="00904C03" w:rsidRPr="00B8465D" w:rsidRDefault="00904C03" w:rsidP="00904C03">
            <w:pPr>
              <w:spacing w:after="1" w:line="241" w:lineRule="auto"/>
              <w:ind w:left="0" w:right="48" w:firstLine="0"/>
              <w:rPr>
                <w:sz w:val="24"/>
                <w:szCs w:val="28"/>
              </w:rPr>
            </w:pPr>
            <w:r w:rsidRPr="00B8465D">
              <w:rPr>
                <w:sz w:val="24"/>
                <w:szCs w:val="28"/>
              </w:rPr>
              <w:t xml:space="preserve">Sont distinguées l’identité </w:t>
            </w:r>
            <w:proofErr w:type="spellStart"/>
            <w:r w:rsidRPr="00B8465D">
              <w:rPr>
                <w:sz w:val="24"/>
                <w:szCs w:val="28"/>
              </w:rPr>
              <w:t>émanente</w:t>
            </w:r>
            <w:proofErr w:type="spellEnd"/>
            <w:r w:rsidRPr="00B8465D">
              <w:rPr>
                <w:sz w:val="24"/>
                <w:szCs w:val="28"/>
              </w:rPr>
              <w:t xml:space="preserve"> (ce que l’entreprise veut envoyer aux autres) et l’identité attribuée (perçue par les autres). L’identité </w:t>
            </w:r>
            <w:proofErr w:type="spellStart"/>
            <w:r w:rsidRPr="00B8465D">
              <w:rPr>
                <w:sz w:val="24"/>
                <w:szCs w:val="28"/>
              </w:rPr>
              <w:t>émanente</w:t>
            </w:r>
            <w:proofErr w:type="spellEnd"/>
            <w:r w:rsidRPr="00B8465D">
              <w:rPr>
                <w:sz w:val="24"/>
                <w:szCs w:val="28"/>
              </w:rPr>
              <w:t xml:space="preserve"> a de multiples facettes en fonction du public à qui l’organisation s’adresse (clients, investisseurs, etc…). </w:t>
            </w:r>
          </w:p>
          <w:p w:rsidR="00904C03" w:rsidRPr="00B8465D" w:rsidRDefault="00904C03" w:rsidP="00904C03">
            <w:pPr>
              <w:spacing w:after="2" w:line="239" w:lineRule="auto"/>
              <w:ind w:left="0" w:firstLine="0"/>
              <w:rPr>
                <w:sz w:val="24"/>
                <w:szCs w:val="28"/>
              </w:rPr>
            </w:pPr>
            <w:r w:rsidRPr="00B8465D">
              <w:rPr>
                <w:sz w:val="24"/>
                <w:szCs w:val="28"/>
              </w:rPr>
              <w:t xml:space="preserve">L’identité d’entreprise s’affirme par adhésion, rejet ou modification à des références trouvées dans l’écosystème de l’entreprise. </w:t>
            </w:r>
          </w:p>
          <w:p w:rsidR="00904C03" w:rsidRPr="00B8465D" w:rsidRDefault="00904C03" w:rsidP="00904C03">
            <w:pPr>
              <w:spacing w:after="1" w:line="241" w:lineRule="auto"/>
              <w:ind w:left="0" w:right="45" w:firstLine="0"/>
              <w:rPr>
                <w:sz w:val="24"/>
                <w:szCs w:val="28"/>
              </w:rPr>
            </w:pPr>
            <w:r w:rsidRPr="00B8465D">
              <w:rPr>
                <w:sz w:val="24"/>
                <w:szCs w:val="28"/>
              </w:rPr>
              <w:t xml:space="preserve">Les PME ont tendance à négliger l'e-réputation lors de leur passage sur le web à cause des contraintes financières. Exception </w:t>
            </w:r>
            <w:proofErr w:type="gramStart"/>
            <w:r w:rsidRPr="00B8465D">
              <w:rPr>
                <w:sz w:val="24"/>
                <w:szCs w:val="28"/>
              </w:rPr>
              <w:t>notable:</w:t>
            </w:r>
            <w:proofErr w:type="gramEnd"/>
            <w:r w:rsidRPr="00B8465D">
              <w:rPr>
                <w:sz w:val="24"/>
                <w:szCs w:val="28"/>
              </w:rPr>
              <w:t xml:space="preserve"> les PME dans le secteur du tourisme. A ce titre, le titulaire du diplôme mène une veille sur l’e-réputation (commentaires réseaux sociaux, avis des clients, utilisation d’outil d’alerte) afin d’alerter le dirigeant ou la dirigeante. </w:t>
            </w:r>
          </w:p>
          <w:p w:rsidR="00904C03" w:rsidRPr="00B8465D" w:rsidRDefault="00904C03" w:rsidP="00904C03">
            <w:pPr>
              <w:spacing w:after="1" w:line="241" w:lineRule="auto"/>
              <w:ind w:left="0" w:right="48" w:firstLine="0"/>
              <w:rPr>
                <w:sz w:val="24"/>
                <w:szCs w:val="28"/>
              </w:rPr>
            </w:pPr>
            <w:r w:rsidRPr="00B8465D">
              <w:rPr>
                <w:sz w:val="24"/>
                <w:szCs w:val="28"/>
              </w:rPr>
              <w:t xml:space="preserve">L’exploitation d’un tableau de bord ou d’un extrait de tableau de bord de la communication permet de définir des ratios de suivi des actions programmées, des dépenses engagées, d’analyser les écarts entre prévisions et réalisations et d’analyser les retombées des actions entreprises. </w:t>
            </w:r>
          </w:p>
          <w:p w:rsidR="00904C03" w:rsidRPr="00B8465D" w:rsidRDefault="00904C03" w:rsidP="00904C03">
            <w:pPr>
              <w:spacing w:after="0" w:line="241" w:lineRule="auto"/>
              <w:ind w:left="0" w:right="49" w:firstLine="0"/>
              <w:rPr>
                <w:sz w:val="24"/>
                <w:szCs w:val="28"/>
              </w:rPr>
            </w:pPr>
            <w:r w:rsidRPr="00B8465D">
              <w:rPr>
                <w:sz w:val="24"/>
                <w:szCs w:val="28"/>
              </w:rPr>
              <w:t xml:space="preserve">Le plan de communication réunit les </w:t>
            </w:r>
            <w:proofErr w:type="gramStart"/>
            <w:r w:rsidRPr="00B8465D">
              <w:rPr>
                <w:sz w:val="24"/>
                <w:szCs w:val="28"/>
              </w:rPr>
              <w:t>programmes  de</w:t>
            </w:r>
            <w:proofErr w:type="gramEnd"/>
            <w:r w:rsidRPr="00B8465D">
              <w:rPr>
                <w:sz w:val="24"/>
                <w:szCs w:val="28"/>
              </w:rPr>
              <w:t xml:space="preserve"> communication interne et externe de l’entreprise qui poursuivent un même but : son développement. Il fixe donc, les objectifs, les messages, les cibles, la stratégie, les moyens d’action.et l’estimation budgétaire et planification </w:t>
            </w:r>
          </w:p>
          <w:p w:rsidR="0064605B" w:rsidRPr="00B8465D" w:rsidRDefault="0064605B" w:rsidP="00F63BA0">
            <w:pPr>
              <w:pStyle w:val="Paragraphedeliste"/>
              <w:spacing w:after="0" w:line="241" w:lineRule="auto"/>
              <w:ind w:left="0" w:right="46" w:firstLine="0"/>
              <w:rPr>
                <w:b/>
                <w:bCs/>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0" w:line="259" w:lineRule="auto"/>
              <w:ind w:left="2" w:firstLine="0"/>
              <w:jc w:val="left"/>
              <w:rPr>
                <w:color w:val="00B0F0"/>
                <w:sz w:val="24"/>
                <w:szCs w:val="28"/>
              </w:rPr>
            </w:pPr>
            <w:r w:rsidRPr="00B8465D">
              <w:rPr>
                <w:b/>
                <w:color w:val="00B0F0"/>
                <w:sz w:val="24"/>
                <w:szCs w:val="28"/>
              </w:rPr>
              <w:lastRenderedPageBreak/>
              <w:t xml:space="preserve">S 4.4.2 La communication </w:t>
            </w:r>
          </w:p>
          <w:p w:rsidR="00904C03" w:rsidRPr="00B8465D" w:rsidRDefault="00904C03" w:rsidP="00904C03">
            <w:pPr>
              <w:spacing w:after="0" w:line="259" w:lineRule="auto"/>
              <w:ind w:left="2" w:firstLine="0"/>
              <w:jc w:val="left"/>
              <w:rPr>
                <w:color w:val="00B0F0"/>
                <w:sz w:val="24"/>
                <w:szCs w:val="28"/>
              </w:rPr>
            </w:pPr>
            <w:proofErr w:type="gramStart"/>
            <w:r w:rsidRPr="00B8465D">
              <w:rPr>
                <w:b/>
                <w:color w:val="00B0F0"/>
                <w:sz w:val="24"/>
                <w:szCs w:val="28"/>
              </w:rPr>
              <w:t>institutionnelle</w:t>
            </w:r>
            <w:proofErr w:type="gramEnd"/>
            <w:r w:rsidRPr="00B8465D">
              <w:rPr>
                <w:b/>
                <w:color w:val="00B0F0"/>
                <w:sz w:val="24"/>
                <w:szCs w:val="28"/>
              </w:rPr>
              <w:t xml:space="preserve"> </w:t>
            </w:r>
          </w:p>
          <w:p w:rsidR="00904C03" w:rsidRPr="00B8465D" w:rsidRDefault="00904C03" w:rsidP="00904C03">
            <w:pPr>
              <w:spacing w:after="1" w:line="240" w:lineRule="auto"/>
              <w:ind w:left="2" w:firstLine="0"/>
              <w:jc w:val="left"/>
              <w:rPr>
                <w:sz w:val="24"/>
                <w:szCs w:val="28"/>
              </w:rPr>
            </w:pPr>
            <w:r w:rsidRPr="00B8465D">
              <w:rPr>
                <w:sz w:val="24"/>
                <w:szCs w:val="28"/>
              </w:rPr>
              <w:t>- Définition, objectifs et moyens de la communication institutionnelle</w:t>
            </w:r>
          </w:p>
          <w:p w:rsidR="00904C03" w:rsidRPr="00B8465D" w:rsidRDefault="00904C03" w:rsidP="00904C03">
            <w:pPr>
              <w:spacing w:after="1" w:line="240" w:lineRule="auto"/>
              <w:ind w:left="2" w:firstLine="0"/>
              <w:jc w:val="left"/>
              <w:rPr>
                <w:sz w:val="24"/>
                <w:szCs w:val="28"/>
              </w:rPr>
            </w:pPr>
            <w:r w:rsidRPr="00B8465D">
              <w:rPr>
                <w:sz w:val="24"/>
                <w:szCs w:val="28"/>
              </w:rPr>
              <w:t xml:space="preserve"> -Modalités de la communication </w:t>
            </w:r>
          </w:p>
          <w:p w:rsidR="00904C03" w:rsidRPr="00B8465D" w:rsidRDefault="00904C03" w:rsidP="00904C03">
            <w:pPr>
              <w:spacing w:after="0" w:line="259" w:lineRule="auto"/>
              <w:ind w:left="2" w:firstLine="0"/>
              <w:jc w:val="left"/>
              <w:rPr>
                <w:sz w:val="24"/>
                <w:szCs w:val="28"/>
              </w:rPr>
            </w:pPr>
            <w:proofErr w:type="gramStart"/>
            <w:r w:rsidRPr="00B8465D">
              <w:rPr>
                <w:sz w:val="24"/>
                <w:szCs w:val="28"/>
              </w:rPr>
              <w:t>institutionnelle</w:t>
            </w:r>
            <w:proofErr w:type="gramEnd"/>
            <w:r w:rsidRPr="00B8465D">
              <w:rPr>
                <w:sz w:val="24"/>
                <w:szCs w:val="28"/>
              </w:rPr>
              <w:t xml:space="preserve"> </w:t>
            </w:r>
          </w:p>
          <w:p w:rsidR="00096CCE" w:rsidRPr="00B8465D" w:rsidRDefault="00096CCE" w:rsidP="000C24AE">
            <w:pPr>
              <w:spacing w:after="1" w:line="241" w:lineRule="auto"/>
              <w:ind w:left="2" w:right="146"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1" w:line="241" w:lineRule="auto"/>
              <w:ind w:left="0" w:right="45" w:firstLine="0"/>
              <w:rPr>
                <w:sz w:val="24"/>
                <w:szCs w:val="28"/>
              </w:rPr>
            </w:pPr>
            <w:r w:rsidRPr="00B8465D">
              <w:rPr>
                <w:sz w:val="24"/>
                <w:szCs w:val="28"/>
              </w:rPr>
              <w:t xml:space="preserve">L'objectif de la communication institutionnelle est la construction et la gestion de l'image d'entreprise. </w:t>
            </w:r>
            <w:r w:rsidRPr="00B8465D">
              <w:rPr>
                <w:color w:val="44546A"/>
                <w:sz w:val="24"/>
                <w:szCs w:val="28"/>
              </w:rPr>
              <w:t xml:space="preserve">Des exemples de communication financière, sociale et environnementale mettront en évidence que </w:t>
            </w:r>
            <w:r w:rsidRPr="00B8465D">
              <w:rPr>
                <w:sz w:val="24"/>
                <w:szCs w:val="28"/>
              </w:rPr>
              <w:t xml:space="preserve">la communication institutionnelle cherche à installer la légitimité de la PME, les valeurs de l’entreprise. </w:t>
            </w:r>
          </w:p>
          <w:p w:rsidR="00096CCE" w:rsidRPr="00B8465D" w:rsidRDefault="00096CCE" w:rsidP="00D63654">
            <w:pPr>
              <w:spacing w:after="1" w:line="241" w:lineRule="auto"/>
              <w:ind w:left="0" w:right="52" w:firstLine="0"/>
              <w:rPr>
                <w:sz w:val="24"/>
                <w:szCs w:val="28"/>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B8465D" w:rsidRDefault="00904C03" w:rsidP="00904C03">
            <w:pPr>
              <w:spacing w:after="0" w:line="242" w:lineRule="auto"/>
              <w:ind w:left="2" w:firstLine="0"/>
              <w:jc w:val="left"/>
              <w:rPr>
                <w:sz w:val="24"/>
                <w:szCs w:val="28"/>
              </w:rPr>
            </w:pPr>
            <w:r w:rsidRPr="00B8465D">
              <w:rPr>
                <w:b/>
                <w:color w:val="00B0F0"/>
                <w:sz w:val="24"/>
                <w:szCs w:val="28"/>
              </w:rPr>
              <w:t xml:space="preserve">S 4.4.3 La communication commerciale </w:t>
            </w:r>
          </w:p>
          <w:p w:rsidR="00904C03" w:rsidRPr="00B8465D" w:rsidRDefault="00904C03" w:rsidP="00904C03">
            <w:pPr>
              <w:spacing w:after="0" w:line="242" w:lineRule="auto"/>
              <w:ind w:left="2" w:firstLine="0"/>
              <w:jc w:val="left"/>
              <w:rPr>
                <w:sz w:val="24"/>
                <w:szCs w:val="28"/>
              </w:rPr>
            </w:pPr>
            <w:r w:rsidRPr="00B8465D">
              <w:rPr>
                <w:sz w:val="24"/>
                <w:szCs w:val="28"/>
              </w:rPr>
              <w:t xml:space="preserve">- Définition, objectifs et moyens de la communication commerciale </w:t>
            </w:r>
          </w:p>
          <w:p w:rsidR="000C24AE" w:rsidRPr="00B8465D" w:rsidRDefault="00904C03" w:rsidP="00904C03">
            <w:pPr>
              <w:spacing w:after="0" w:line="259" w:lineRule="auto"/>
              <w:ind w:left="2" w:firstLine="0"/>
              <w:jc w:val="left"/>
              <w:rPr>
                <w:b/>
                <w:sz w:val="24"/>
                <w:szCs w:val="28"/>
              </w:rPr>
            </w:pPr>
            <w:r w:rsidRPr="00B8465D">
              <w:rPr>
                <w:sz w:val="24"/>
                <w:szCs w:val="28"/>
              </w:rPr>
              <w:t>- Composantes et cohérence d’un plan</w:t>
            </w:r>
            <w:r w:rsidRPr="00B8465D">
              <w:rPr>
                <w:sz w:val="24"/>
                <w:szCs w:val="28"/>
              </w:rPr>
              <w:t xml:space="preserve"> </w:t>
            </w:r>
            <w:r w:rsidRPr="00B8465D">
              <w:rPr>
                <w:sz w:val="24"/>
                <w:szCs w:val="28"/>
              </w:rPr>
              <w:t>média</w:t>
            </w:r>
          </w:p>
        </w:tc>
        <w:tc>
          <w:tcPr>
            <w:tcW w:w="6390"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0" w:line="242" w:lineRule="auto"/>
              <w:ind w:left="0" w:right="52" w:firstLine="0"/>
              <w:rPr>
                <w:sz w:val="24"/>
                <w:szCs w:val="28"/>
              </w:rPr>
            </w:pPr>
            <w:r w:rsidRPr="00B8465D">
              <w:rPr>
                <w:sz w:val="24"/>
                <w:szCs w:val="28"/>
              </w:rPr>
              <w:t xml:space="preserve">On détermine les objectifs de la stratégie mise en œuvre (développement, fidélisation, animation). On distingue le type de communication commerciale (média et hors média). </w:t>
            </w:r>
          </w:p>
          <w:p w:rsidR="000C24AE" w:rsidRPr="00B8465D" w:rsidRDefault="00904C03" w:rsidP="00904C03">
            <w:pPr>
              <w:spacing w:after="0" w:line="259" w:lineRule="auto"/>
              <w:ind w:left="0" w:firstLine="0"/>
              <w:jc w:val="left"/>
              <w:rPr>
                <w:sz w:val="24"/>
                <w:szCs w:val="28"/>
              </w:rPr>
            </w:pPr>
            <w:r w:rsidRPr="00B8465D">
              <w:rPr>
                <w:sz w:val="24"/>
                <w:szCs w:val="28"/>
              </w:rPr>
              <w:t>L’étude de plans ou d’extraits de plans de communication issus des PME permet de définir, l’organisation et l’articulation des actions de</w:t>
            </w:r>
            <w:r w:rsidRPr="00B8465D">
              <w:rPr>
                <w:sz w:val="24"/>
                <w:szCs w:val="28"/>
              </w:rPr>
              <w:t xml:space="preserve"> </w:t>
            </w:r>
            <w:r w:rsidRPr="00B8465D">
              <w:rPr>
                <w:sz w:val="24"/>
                <w:szCs w:val="28"/>
              </w:rPr>
              <w:t xml:space="preserve">communication commerciale. </w:t>
            </w:r>
          </w:p>
        </w:tc>
      </w:tr>
      <w:tr w:rsidR="00904C03"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0" w:line="259" w:lineRule="auto"/>
              <w:ind w:left="2" w:firstLine="0"/>
              <w:jc w:val="left"/>
              <w:rPr>
                <w:color w:val="00B0F0"/>
                <w:sz w:val="24"/>
                <w:szCs w:val="28"/>
              </w:rPr>
            </w:pPr>
            <w:bookmarkStart w:id="0" w:name="_GoBack"/>
            <w:r w:rsidRPr="00B8465D">
              <w:rPr>
                <w:b/>
                <w:color w:val="00B0F0"/>
                <w:sz w:val="24"/>
                <w:szCs w:val="28"/>
              </w:rPr>
              <w:t xml:space="preserve">S 4.4.4 La communication digitale </w:t>
            </w:r>
          </w:p>
          <w:bookmarkEnd w:id="0"/>
          <w:p w:rsidR="00904C03" w:rsidRPr="00B8465D" w:rsidRDefault="00904C03" w:rsidP="00904C03">
            <w:pPr>
              <w:numPr>
                <w:ilvl w:val="0"/>
                <w:numId w:val="24"/>
              </w:numPr>
              <w:spacing w:after="0" w:line="259" w:lineRule="auto"/>
              <w:ind w:hanging="106"/>
              <w:jc w:val="left"/>
              <w:rPr>
                <w:sz w:val="24"/>
                <w:szCs w:val="28"/>
              </w:rPr>
            </w:pPr>
            <w:r w:rsidRPr="00B8465D">
              <w:rPr>
                <w:sz w:val="24"/>
                <w:szCs w:val="28"/>
              </w:rPr>
              <w:t xml:space="preserve">Notions et enjeux </w:t>
            </w:r>
          </w:p>
          <w:p w:rsidR="00904C03" w:rsidRPr="00B8465D" w:rsidRDefault="00904C03" w:rsidP="00904C03">
            <w:pPr>
              <w:spacing w:after="0" w:line="242" w:lineRule="auto"/>
              <w:ind w:left="2" w:firstLine="0"/>
              <w:jc w:val="left"/>
              <w:rPr>
                <w:b/>
                <w:sz w:val="24"/>
                <w:szCs w:val="28"/>
              </w:rPr>
            </w:pPr>
            <w:r w:rsidRPr="00B8465D">
              <w:rPr>
                <w:sz w:val="24"/>
                <w:szCs w:val="28"/>
              </w:rPr>
              <w:t>Outils de la communication digitale</w:t>
            </w:r>
          </w:p>
        </w:tc>
        <w:tc>
          <w:tcPr>
            <w:tcW w:w="6390" w:type="dxa"/>
            <w:tcBorders>
              <w:top w:val="single" w:sz="8" w:space="0" w:color="000000"/>
              <w:left w:val="single" w:sz="8" w:space="0" w:color="000000"/>
              <w:bottom w:val="single" w:sz="8" w:space="0" w:color="000000"/>
              <w:right w:val="single" w:sz="8" w:space="0" w:color="000000"/>
            </w:tcBorders>
            <w:vAlign w:val="center"/>
          </w:tcPr>
          <w:p w:rsidR="00904C03" w:rsidRPr="00B8465D" w:rsidRDefault="00904C03" w:rsidP="00904C03">
            <w:pPr>
              <w:spacing w:after="0" w:line="242" w:lineRule="auto"/>
              <w:ind w:left="0" w:right="52" w:firstLine="0"/>
              <w:rPr>
                <w:sz w:val="24"/>
                <w:szCs w:val="28"/>
              </w:rPr>
            </w:pPr>
            <w:r w:rsidRPr="00B8465D">
              <w:rPr>
                <w:sz w:val="24"/>
                <w:szCs w:val="28"/>
              </w:rPr>
              <w:t xml:space="preserve">Dans ce cadre, la communication digitale est étudiée sous l’angle de la construction de l’identité de la PME et plus spécifiquement son identité numérique. Les savoirs liés à la communication digitale sont réactivés. </w:t>
            </w:r>
          </w:p>
          <w:p w:rsidR="00904C03" w:rsidRPr="00B8465D" w:rsidRDefault="00904C03" w:rsidP="00904C03">
            <w:pPr>
              <w:spacing w:after="1" w:line="240" w:lineRule="auto"/>
              <w:ind w:left="0" w:right="45" w:firstLine="0"/>
              <w:rPr>
                <w:sz w:val="24"/>
                <w:szCs w:val="28"/>
              </w:rPr>
            </w:pPr>
            <w:r w:rsidRPr="00B8465D">
              <w:rPr>
                <w:sz w:val="24"/>
                <w:szCs w:val="28"/>
              </w:rPr>
              <w:t xml:space="preserve">La stratégie digitale s’inscrit dans le plan de communication d’une entreprise. Le choix des outils et techniques à privilégier dans la mise en place de la stratégie va impacter les budgets. </w:t>
            </w:r>
          </w:p>
          <w:p w:rsidR="00904C03" w:rsidRPr="00B8465D" w:rsidRDefault="00904C03" w:rsidP="00904C03">
            <w:pPr>
              <w:spacing w:after="1" w:line="241" w:lineRule="auto"/>
              <w:ind w:left="0" w:right="49" w:firstLine="0"/>
              <w:rPr>
                <w:sz w:val="24"/>
                <w:szCs w:val="28"/>
              </w:rPr>
            </w:pPr>
            <w:r w:rsidRPr="00B8465D">
              <w:rPr>
                <w:sz w:val="24"/>
                <w:szCs w:val="28"/>
              </w:rPr>
              <w:t xml:space="preserve">Les outils de la communication digitale (référencement, blog, site web, </w:t>
            </w:r>
            <w:proofErr w:type="spellStart"/>
            <w:r w:rsidRPr="00B8465D">
              <w:rPr>
                <w:sz w:val="24"/>
                <w:szCs w:val="28"/>
              </w:rPr>
              <w:t>newletters</w:t>
            </w:r>
            <w:proofErr w:type="spellEnd"/>
            <w:r w:rsidRPr="00B8465D">
              <w:rPr>
                <w:sz w:val="24"/>
                <w:szCs w:val="28"/>
              </w:rPr>
              <w:t xml:space="preserve"> réseaux sociaux, relation presse via des blogueurs liés au domaine d’activité, m-commerce, curation) sont variés et nombreux. L’exhaustivité n’est pas recherchée. </w:t>
            </w:r>
          </w:p>
          <w:p w:rsidR="00904C03" w:rsidRPr="00B8465D" w:rsidRDefault="00904C03" w:rsidP="00904C03">
            <w:pPr>
              <w:spacing w:after="0" w:line="242" w:lineRule="auto"/>
              <w:ind w:left="0" w:right="52" w:firstLine="0"/>
              <w:rPr>
                <w:sz w:val="24"/>
                <w:szCs w:val="28"/>
              </w:rPr>
            </w:pPr>
            <w:r w:rsidRPr="00B8465D">
              <w:rPr>
                <w:sz w:val="24"/>
                <w:szCs w:val="28"/>
              </w:rPr>
              <w:t xml:space="preserve">Il s’agit de montrer à travers des exemples de PME comment la communication digitale permet d’améliorer la visibilité auprès des cibles et s’inscrit bien dans une stratégie globale de communication. </w:t>
            </w:r>
            <w:hyperlink r:id="rId5" w:history="1">
              <w:r w:rsidRPr="00B8465D">
                <w:rPr>
                  <w:rStyle w:val="Lienhypertexte"/>
                  <w:sz w:val="24"/>
                  <w:szCs w:val="28"/>
                </w:rPr>
                <w:t>https://www.pme-web.com/outils-incontournables-marketing-digital/</w:t>
              </w:r>
            </w:hyperlink>
          </w:p>
          <w:p w:rsidR="00904C03" w:rsidRPr="00B8465D" w:rsidRDefault="00904C03" w:rsidP="00904C03">
            <w:pPr>
              <w:spacing w:after="0" w:line="242" w:lineRule="auto"/>
              <w:ind w:left="0" w:right="52" w:firstLine="0"/>
              <w:rPr>
                <w:sz w:val="24"/>
                <w:szCs w:val="28"/>
              </w:rPr>
            </w:pP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0"/>
  </w:num>
  <w:num w:numId="3">
    <w:abstractNumId w:val="20"/>
  </w:num>
  <w:num w:numId="4">
    <w:abstractNumId w:val="6"/>
  </w:num>
  <w:num w:numId="5">
    <w:abstractNumId w:val="16"/>
  </w:num>
  <w:num w:numId="6">
    <w:abstractNumId w:val="0"/>
  </w:num>
  <w:num w:numId="7">
    <w:abstractNumId w:val="3"/>
  </w:num>
  <w:num w:numId="8">
    <w:abstractNumId w:val="11"/>
  </w:num>
  <w:num w:numId="9">
    <w:abstractNumId w:val="8"/>
  </w:num>
  <w:num w:numId="10">
    <w:abstractNumId w:val="12"/>
  </w:num>
  <w:num w:numId="11">
    <w:abstractNumId w:val="14"/>
  </w:num>
  <w:num w:numId="12">
    <w:abstractNumId w:val="18"/>
  </w:num>
  <w:num w:numId="13">
    <w:abstractNumId w:val="4"/>
  </w:num>
  <w:num w:numId="14">
    <w:abstractNumId w:val="13"/>
  </w:num>
  <w:num w:numId="15">
    <w:abstractNumId w:val="1"/>
  </w:num>
  <w:num w:numId="16">
    <w:abstractNumId w:val="22"/>
  </w:num>
  <w:num w:numId="17">
    <w:abstractNumId w:val="17"/>
  </w:num>
  <w:num w:numId="18">
    <w:abstractNumId w:val="15"/>
  </w:num>
  <w:num w:numId="19">
    <w:abstractNumId w:val="9"/>
  </w:num>
  <w:num w:numId="20">
    <w:abstractNumId w:val="5"/>
  </w:num>
  <w:num w:numId="21">
    <w:abstractNumId w:val="2"/>
  </w:num>
  <w:num w:numId="22">
    <w:abstractNumId w:val="21"/>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96CCE"/>
    <w:rsid w:val="000C24AE"/>
    <w:rsid w:val="00141CAD"/>
    <w:rsid w:val="001F3B14"/>
    <w:rsid w:val="0023724B"/>
    <w:rsid w:val="00283084"/>
    <w:rsid w:val="002B0D48"/>
    <w:rsid w:val="0032179F"/>
    <w:rsid w:val="003373A3"/>
    <w:rsid w:val="003E2CD1"/>
    <w:rsid w:val="00442A12"/>
    <w:rsid w:val="00451BE5"/>
    <w:rsid w:val="004C4E37"/>
    <w:rsid w:val="0057150F"/>
    <w:rsid w:val="005E2D42"/>
    <w:rsid w:val="0064605B"/>
    <w:rsid w:val="008179FD"/>
    <w:rsid w:val="008E6AAD"/>
    <w:rsid w:val="00904C03"/>
    <w:rsid w:val="00AE684F"/>
    <w:rsid w:val="00AF1575"/>
    <w:rsid w:val="00B8465D"/>
    <w:rsid w:val="00C85DEE"/>
    <w:rsid w:val="00CD2A52"/>
    <w:rsid w:val="00D63654"/>
    <w:rsid w:val="00DE37A3"/>
    <w:rsid w:val="00E0345E"/>
    <w:rsid w:val="00E46846"/>
    <w:rsid w:val="00E81E7D"/>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uiPriority w:val="9"/>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me-web.com/outils-incontournables-marketing-digita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2021-02-12T18:17:00Z</dcterms:created>
  <dcterms:modified xsi:type="dcterms:W3CDTF">2021-02-12T18:21:00Z</dcterms:modified>
</cp:coreProperties>
</file>