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0C24AE" w:rsidP="004C4E37">
            <w:pPr>
              <w:spacing w:after="0" w:line="259" w:lineRule="auto"/>
              <w:ind w:left="0" w:firstLine="0"/>
              <w:jc w:val="left"/>
            </w:pPr>
            <w:r>
              <w:rPr>
                <w:b/>
                <w:sz w:val="24"/>
              </w:rPr>
              <w:t>Bloc de compétences 4</w:t>
            </w:r>
            <w:r w:rsidR="00FE2001">
              <w:rPr>
                <w:rFonts w:ascii="Arial" w:eastAsia="Arial" w:hAnsi="Arial" w:cs="Arial"/>
                <w:b/>
                <w:sz w:val="24"/>
              </w:rPr>
              <w:t xml:space="preserve"> </w:t>
            </w:r>
            <w:r w:rsidR="00FE2001">
              <w:rPr>
                <w:b/>
                <w:sz w:val="24"/>
              </w:rPr>
              <w:t xml:space="preserve">: </w:t>
            </w:r>
            <w:r>
              <w:rPr>
                <w:b/>
                <w:sz w:val="24"/>
              </w:rPr>
              <w:t>S</w:t>
            </w:r>
            <w:r>
              <w:rPr>
                <w:b/>
                <w:sz w:val="24"/>
              </w:rPr>
              <w:t>outenir le fonctionnement et le développement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0C24AE" w:rsidP="006A1F67">
            <w:pPr>
              <w:spacing w:after="0" w:line="259" w:lineRule="auto"/>
              <w:ind w:left="0" w:firstLine="0"/>
              <w:jc w:val="center"/>
              <w:rPr>
                <w:b/>
                <w:bCs/>
                <w:color w:val="00B0F0"/>
                <w:sz w:val="24"/>
                <w:szCs w:val="28"/>
              </w:rPr>
            </w:pPr>
            <w:r w:rsidRPr="000C24AE">
              <w:rPr>
                <w:b/>
                <w:color w:val="00B0F0"/>
                <w:sz w:val="28"/>
                <w:szCs w:val="32"/>
              </w:rPr>
              <w:t xml:space="preserve">Activité </w:t>
            </w:r>
            <w:r w:rsidR="006B20D8" w:rsidRPr="006B20D8">
              <w:rPr>
                <w:b/>
                <w:color w:val="00B0F0"/>
                <w:sz w:val="28"/>
                <w:szCs w:val="32"/>
              </w:rPr>
              <w:t>4.5. Participation à l’analyse de l’activité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B20D8" w:rsidRPr="006B20D8" w:rsidRDefault="006B20D8" w:rsidP="006B20D8">
            <w:pPr>
              <w:spacing w:after="0" w:line="259" w:lineRule="auto"/>
              <w:ind w:left="2" w:firstLine="0"/>
              <w:jc w:val="left"/>
              <w:rPr>
                <w:color w:val="00B0F0"/>
                <w:sz w:val="24"/>
                <w:szCs w:val="28"/>
              </w:rPr>
            </w:pPr>
            <w:r w:rsidRPr="006B20D8">
              <w:rPr>
                <w:b/>
                <w:color w:val="00B0F0"/>
                <w:sz w:val="24"/>
                <w:szCs w:val="28"/>
              </w:rPr>
              <w:t xml:space="preserve">S 4.5.1 La performance </w:t>
            </w:r>
          </w:p>
          <w:p w:rsidR="006B20D8" w:rsidRPr="006B20D8" w:rsidRDefault="006B20D8" w:rsidP="006B20D8">
            <w:pPr>
              <w:numPr>
                <w:ilvl w:val="0"/>
                <w:numId w:val="25"/>
              </w:numPr>
              <w:spacing w:after="0" w:line="259" w:lineRule="auto"/>
              <w:ind w:firstLine="0"/>
              <w:jc w:val="left"/>
              <w:rPr>
                <w:sz w:val="24"/>
                <w:szCs w:val="28"/>
              </w:rPr>
            </w:pPr>
            <w:r w:rsidRPr="006B20D8">
              <w:rPr>
                <w:sz w:val="24"/>
                <w:szCs w:val="28"/>
              </w:rPr>
              <w:t xml:space="preserve">Efficacité et efficience </w:t>
            </w:r>
          </w:p>
          <w:p w:rsidR="006B20D8" w:rsidRPr="006B20D8" w:rsidRDefault="006B20D8" w:rsidP="006B20D8">
            <w:pPr>
              <w:numPr>
                <w:ilvl w:val="0"/>
                <w:numId w:val="25"/>
              </w:numPr>
              <w:spacing w:after="0" w:line="242" w:lineRule="auto"/>
              <w:ind w:firstLine="0"/>
              <w:jc w:val="left"/>
              <w:rPr>
                <w:sz w:val="24"/>
                <w:szCs w:val="28"/>
              </w:rPr>
            </w:pPr>
            <w:r w:rsidRPr="006B20D8">
              <w:rPr>
                <w:sz w:val="24"/>
                <w:szCs w:val="28"/>
              </w:rPr>
              <w:t xml:space="preserve">Facteur clé de succès et indicateurs de performance </w:t>
            </w:r>
          </w:p>
          <w:p w:rsidR="0064605B" w:rsidRPr="006B20D8" w:rsidRDefault="0064605B" w:rsidP="00C85DEE">
            <w:pPr>
              <w:spacing w:after="0" w:line="259" w:lineRule="auto"/>
              <w:jc w:val="left"/>
              <w:rPr>
                <w:b/>
                <w:bCs/>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6B20D8" w:rsidRPr="006B20D8" w:rsidRDefault="006B20D8" w:rsidP="006B20D8">
            <w:pPr>
              <w:spacing w:after="0" w:line="242" w:lineRule="auto"/>
              <w:ind w:left="0" w:right="49" w:firstLine="0"/>
              <w:rPr>
                <w:sz w:val="24"/>
                <w:szCs w:val="28"/>
              </w:rPr>
            </w:pPr>
            <w:r w:rsidRPr="006B20D8">
              <w:rPr>
                <w:sz w:val="24"/>
                <w:szCs w:val="28"/>
              </w:rPr>
              <w:t xml:space="preserve">Les notions relatives à la performance sont abordées dans un contexte décisionnel précisément identifié. Les indicateurs sont présentés en adéquation avec les axes stratégiques de l’entreprise  </w:t>
            </w:r>
          </w:p>
          <w:p w:rsidR="006B20D8" w:rsidRPr="006B20D8" w:rsidRDefault="006B20D8" w:rsidP="006B20D8">
            <w:pPr>
              <w:spacing w:after="1" w:line="241" w:lineRule="auto"/>
              <w:ind w:left="0" w:right="48" w:firstLine="0"/>
              <w:rPr>
                <w:sz w:val="24"/>
                <w:szCs w:val="28"/>
              </w:rPr>
            </w:pPr>
            <w:r w:rsidRPr="006B20D8">
              <w:rPr>
                <w:sz w:val="24"/>
                <w:szCs w:val="28"/>
              </w:rPr>
              <w:t xml:space="preserve">La conception des indicateurs de performance n’est pas demandée, seul leur calcul et leur analyse le sont. Le PGI peut être utilement utilisé pour extraire des indicateurs utiles et le tableur pour le traitement et l’analyse de l’activité de l’entreprise. </w:t>
            </w:r>
          </w:p>
          <w:p w:rsidR="0064605B" w:rsidRPr="006B20D8" w:rsidRDefault="0064605B" w:rsidP="00F63BA0">
            <w:pPr>
              <w:pStyle w:val="Paragraphedeliste"/>
              <w:spacing w:after="0" w:line="241" w:lineRule="auto"/>
              <w:ind w:left="0" w:right="46" w:firstLine="0"/>
              <w:rPr>
                <w:b/>
                <w:bCs/>
                <w:sz w:val="24"/>
                <w:szCs w:val="28"/>
              </w:rPr>
            </w:pPr>
          </w:p>
        </w:tc>
      </w:tr>
      <w:tr w:rsidR="000C24A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B20D8" w:rsidRPr="006B20D8" w:rsidRDefault="006B20D8" w:rsidP="006B20D8">
            <w:pPr>
              <w:spacing w:after="0" w:line="242" w:lineRule="auto"/>
              <w:ind w:left="2" w:firstLine="0"/>
              <w:jc w:val="left"/>
              <w:rPr>
                <w:color w:val="00B0F0"/>
                <w:sz w:val="24"/>
                <w:szCs w:val="28"/>
              </w:rPr>
            </w:pPr>
            <w:r w:rsidRPr="006B20D8">
              <w:rPr>
                <w:b/>
                <w:color w:val="00B0F0"/>
                <w:sz w:val="24"/>
                <w:szCs w:val="28"/>
              </w:rPr>
              <w:t xml:space="preserve">S 4.5.2 Calcul et analyse des coûts et des résultats </w:t>
            </w:r>
          </w:p>
          <w:p w:rsidR="006B20D8" w:rsidRPr="006B20D8" w:rsidRDefault="006B20D8" w:rsidP="006B20D8">
            <w:pPr>
              <w:numPr>
                <w:ilvl w:val="0"/>
                <w:numId w:val="26"/>
              </w:numPr>
              <w:spacing w:after="0" w:line="242" w:lineRule="auto"/>
              <w:ind w:firstLine="0"/>
              <w:jc w:val="left"/>
              <w:rPr>
                <w:sz w:val="24"/>
                <w:szCs w:val="28"/>
              </w:rPr>
            </w:pPr>
            <w:r w:rsidRPr="006B20D8">
              <w:rPr>
                <w:sz w:val="24"/>
                <w:szCs w:val="28"/>
              </w:rPr>
              <w:t>Définition et objectifs de la comptabilité de gestion.</w:t>
            </w:r>
          </w:p>
          <w:p w:rsidR="006B20D8" w:rsidRPr="006B20D8" w:rsidRDefault="006B20D8" w:rsidP="006B20D8">
            <w:pPr>
              <w:numPr>
                <w:ilvl w:val="0"/>
                <w:numId w:val="26"/>
              </w:numPr>
              <w:spacing w:after="0" w:line="242" w:lineRule="auto"/>
              <w:ind w:firstLine="0"/>
              <w:jc w:val="left"/>
              <w:rPr>
                <w:sz w:val="24"/>
                <w:szCs w:val="28"/>
              </w:rPr>
            </w:pPr>
            <w:r w:rsidRPr="006B20D8">
              <w:rPr>
                <w:sz w:val="24"/>
                <w:szCs w:val="28"/>
              </w:rPr>
              <w:t xml:space="preserve">Distinction charges/coûts </w:t>
            </w:r>
          </w:p>
          <w:p w:rsidR="006B20D8" w:rsidRPr="006B20D8" w:rsidRDefault="006B20D8" w:rsidP="006B20D8">
            <w:pPr>
              <w:numPr>
                <w:ilvl w:val="0"/>
                <w:numId w:val="26"/>
              </w:numPr>
              <w:spacing w:after="2" w:line="239" w:lineRule="auto"/>
              <w:ind w:firstLine="0"/>
              <w:jc w:val="left"/>
              <w:rPr>
                <w:sz w:val="24"/>
                <w:szCs w:val="28"/>
              </w:rPr>
            </w:pPr>
            <w:r w:rsidRPr="006B20D8">
              <w:rPr>
                <w:sz w:val="24"/>
                <w:szCs w:val="28"/>
              </w:rPr>
              <w:t xml:space="preserve">Charges incorporées aux calculs des coûts </w:t>
            </w:r>
          </w:p>
          <w:p w:rsidR="006B20D8" w:rsidRPr="006B20D8" w:rsidRDefault="006B20D8" w:rsidP="006B20D8">
            <w:pPr>
              <w:numPr>
                <w:ilvl w:val="0"/>
                <w:numId w:val="26"/>
              </w:numPr>
              <w:spacing w:after="0" w:line="259" w:lineRule="auto"/>
              <w:ind w:firstLine="0"/>
              <w:jc w:val="left"/>
              <w:rPr>
                <w:sz w:val="24"/>
                <w:szCs w:val="28"/>
              </w:rPr>
            </w:pPr>
            <w:r w:rsidRPr="006B20D8">
              <w:rPr>
                <w:sz w:val="24"/>
                <w:szCs w:val="28"/>
              </w:rPr>
              <w:t xml:space="preserve">Coûts complets </w:t>
            </w:r>
          </w:p>
          <w:p w:rsidR="006B20D8" w:rsidRPr="006B20D8" w:rsidRDefault="006B20D8" w:rsidP="006B20D8">
            <w:pPr>
              <w:numPr>
                <w:ilvl w:val="0"/>
                <w:numId w:val="26"/>
              </w:numPr>
              <w:spacing w:after="0" w:line="259" w:lineRule="auto"/>
              <w:ind w:firstLine="0"/>
              <w:jc w:val="left"/>
              <w:rPr>
                <w:sz w:val="24"/>
                <w:szCs w:val="28"/>
              </w:rPr>
            </w:pPr>
            <w:r w:rsidRPr="006B20D8">
              <w:rPr>
                <w:sz w:val="24"/>
                <w:szCs w:val="28"/>
              </w:rPr>
              <w:t xml:space="preserve">Modèle des centres d'analyse </w:t>
            </w:r>
          </w:p>
          <w:p w:rsidR="006B20D8" w:rsidRPr="006B20D8" w:rsidRDefault="006B20D8" w:rsidP="006B20D8">
            <w:pPr>
              <w:numPr>
                <w:ilvl w:val="0"/>
                <w:numId w:val="26"/>
              </w:numPr>
              <w:spacing w:after="0" w:line="242" w:lineRule="auto"/>
              <w:ind w:firstLine="0"/>
              <w:jc w:val="left"/>
              <w:rPr>
                <w:sz w:val="24"/>
                <w:szCs w:val="28"/>
              </w:rPr>
            </w:pPr>
            <w:r w:rsidRPr="006B20D8">
              <w:rPr>
                <w:sz w:val="24"/>
                <w:szCs w:val="28"/>
              </w:rPr>
              <w:t>Charges opérationnelles et charges de structure.</w:t>
            </w:r>
          </w:p>
          <w:p w:rsidR="006B20D8" w:rsidRPr="006B20D8" w:rsidRDefault="006B20D8" w:rsidP="006B20D8">
            <w:pPr>
              <w:numPr>
                <w:ilvl w:val="0"/>
                <w:numId w:val="26"/>
              </w:numPr>
              <w:spacing w:after="0" w:line="242" w:lineRule="auto"/>
              <w:ind w:firstLine="0"/>
              <w:jc w:val="left"/>
              <w:rPr>
                <w:sz w:val="24"/>
                <w:szCs w:val="28"/>
              </w:rPr>
            </w:pPr>
            <w:r w:rsidRPr="006B20D8">
              <w:rPr>
                <w:sz w:val="24"/>
                <w:szCs w:val="28"/>
              </w:rPr>
              <w:t xml:space="preserve">Coûts partiels </w:t>
            </w:r>
          </w:p>
          <w:p w:rsidR="006B20D8" w:rsidRPr="006B20D8" w:rsidRDefault="006B20D8" w:rsidP="006B20D8">
            <w:pPr>
              <w:numPr>
                <w:ilvl w:val="0"/>
                <w:numId w:val="26"/>
              </w:numPr>
              <w:spacing w:after="0" w:line="259" w:lineRule="auto"/>
              <w:ind w:firstLine="0"/>
              <w:jc w:val="left"/>
              <w:rPr>
                <w:sz w:val="24"/>
                <w:szCs w:val="28"/>
              </w:rPr>
            </w:pPr>
            <w:r w:rsidRPr="006B20D8">
              <w:rPr>
                <w:sz w:val="24"/>
                <w:szCs w:val="28"/>
              </w:rPr>
              <w:t xml:space="preserve">Coûts spécifiques </w:t>
            </w:r>
          </w:p>
          <w:p w:rsidR="00096CCE" w:rsidRPr="006B20D8" w:rsidRDefault="00096CCE" w:rsidP="000C24AE">
            <w:pPr>
              <w:spacing w:after="1" w:line="241" w:lineRule="auto"/>
              <w:ind w:left="2" w:right="146"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6B20D8" w:rsidRPr="006B20D8" w:rsidRDefault="006B20D8" w:rsidP="006B20D8">
            <w:pPr>
              <w:spacing w:after="1" w:line="241" w:lineRule="auto"/>
              <w:ind w:left="0" w:right="47" w:firstLine="0"/>
              <w:rPr>
                <w:sz w:val="24"/>
                <w:szCs w:val="28"/>
              </w:rPr>
            </w:pPr>
            <w:r w:rsidRPr="006B20D8">
              <w:rPr>
                <w:sz w:val="24"/>
                <w:szCs w:val="28"/>
              </w:rPr>
              <w:t xml:space="preserve">Le calcul de coûts peut porter sur une commande, un nouveau produit ou l’activité globale de la PME. La méthode utilisée dans la PME est précisée dans les données. </w:t>
            </w:r>
          </w:p>
          <w:p w:rsidR="006B20D8" w:rsidRPr="006B20D8" w:rsidRDefault="006B20D8" w:rsidP="006B20D8">
            <w:pPr>
              <w:spacing w:after="0" w:line="241" w:lineRule="auto"/>
              <w:ind w:left="0" w:right="50" w:firstLine="0"/>
              <w:rPr>
                <w:sz w:val="24"/>
                <w:szCs w:val="28"/>
              </w:rPr>
            </w:pPr>
            <w:r w:rsidRPr="006B20D8">
              <w:rPr>
                <w:sz w:val="24"/>
                <w:szCs w:val="28"/>
              </w:rPr>
              <w:t xml:space="preserve">L'étude se limite aux charges incorporables et aux éléments supplétifs. Le calcul du coût complet est effectué selon la méthode des centres d'analyse est abordé en mettant l'accent sur son intérêt et ses limites. Toutefois, la construction du tableau d'analyse des charges indirectes avec prestations croisées entre les centres d’analyse est exclue. Les problèmes de déchets et en-cours ne sont pas abordés. Les sous-produits sont exclus. Le modèle à base d’activités n’est pas au programme. Il peut être demandé à l’étudiant de déterminer le coût d’une activité mais pas de calculer le coût d’inducteurs ou de déterminer le coût de produits à partir du coût des activités.  </w:t>
            </w:r>
          </w:p>
          <w:p w:rsidR="006B20D8" w:rsidRPr="006B20D8" w:rsidRDefault="006B20D8" w:rsidP="006B20D8">
            <w:pPr>
              <w:spacing w:after="0" w:line="259" w:lineRule="auto"/>
              <w:ind w:left="0" w:firstLine="0"/>
              <w:jc w:val="left"/>
              <w:rPr>
                <w:sz w:val="24"/>
                <w:szCs w:val="28"/>
              </w:rPr>
            </w:pPr>
            <w:r w:rsidRPr="006B20D8">
              <w:rPr>
                <w:sz w:val="24"/>
                <w:szCs w:val="28"/>
              </w:rPr>
              <w:t xml:space="preserve"> </w:t>
            </w:r>
          </w:p>
          <w:p w:rsidR="00096CCE" w:rsidRPr="006B20D8" w:rsidRDefault="00096CCE" w:rsidP="00D63654">
            <w:pPr>
              <w:spacing w:after="1" w:line="241" w:lineRule="auto"/>
              <w:ind w:left="0" w:right="52" w:firstLine="0"/>
              <w:rPr>
                <w:sz w:val="24"/>
                <w:szCs w:val="28"/>
              </w:rPr>
            </w:pPr>
          </w:p>
        </w:tc>
      </w:tr>
      <w:tr w:rsidR="000C24A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B20D8" w:rsidRPr="006B20D8" w:rsidRDefault="006B20D8" w:rsidP="006B20D8">
            <w:pPr>
              <w:spacing w:after="0" w:line="259" w:lineRule="auto"/>
              <w:ind w:left="2" w:firstLine="0"/>
              <w:jc w:val="left"/>
              <w:rPr>
                <w:color w:val="00B0F0"/>
                <w:sz w:val="24"/>
                <w:szCs w:val="28"/>
              </w:rPr>
            </w:pPr>
            <w:r w:rsidRPr="006B20D8">
              <w:rPr>
                <w:b/>
                <w:color w:val="00B0F0"/>
                <w:sz w:val="24"/>
                <w:szCs w:val="28"/>
              </w:rPr>
              <w:t xml:space="preserve">S </w:t>
            </w:r>
            <w:proofErr w:type="gramStart"/>
            <w:r w:rsidRPr="006B20D8">
              <w:rPr>
                <w:b/>
                <w:color w:val="00B0F0"/>
                <w:sz w:val="24"/>
                <w:szCs w:val="28"/>
              </w:rPr>
              <w:t>4.5.3  Le</w:t>
            </w:r>
            <w:proofErr w:type="gramEnd"/>
            <w:r w:rsidRPr="006B20D8">
              <w:rPr>
                <w:b/>
                <w:color w:val="00B0F0"/>
                <w:sz w:val="24"/>
                <w:szCs w:val="28"/>
              </w:rPr>
              <w:t xml:space="preserve"> Seuil de rentabilité </w:t>
            </w:r>
          </w:p>
          <w:p w:rsidR="000C24AE" w:rsidRPr="006B20D8" w:rsidRDefault="000C24AE" w:rsidP="00904C03">
            <w:pPr>
              <w:spacing w:after="0" w:line="259" w:lineRule="auto"/>
              <w:ind w:left="2"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6B20D8" w:rsidRPr="006B20D8" w:rsidRDefault="006B20D8" w:rsidP="006B20D8">
            <w:pPr>
              <w:spacing w:after="0" w:line="242" w:lineRule="auto"/>
              <w:ind w:left="0" w:firstLine="0"/>
              <w:rPr>
                <w:sz w:val="24"/>
                <w:szCs w:val="28"/>
              </w:rPr>
            </w:pPr>
            <w:r w:rsidRPr="006B20D8">
              <w:rPr>
                <w:sz w:val="24"/>
                <w:szCs w:val="28"/>
              </w:rPr>
              <w:t xml:space="preserve">Pour le calcul du seuil de rentabilité, la distinction entre charges fixes et charges variables est donnée. </w:t>
            </w:r>
          </w:p>
          <w:p w:rsidR="000C24AE" w:rsidRPr="006B20D8" w:rsidRDefault="000C24AE" w:rsidP="00904C03">
            <w:pPr>
              <w:spacing w:after="0" w:line="259" w:lineRule="auto"/>
              <w:ind w:left="0" w:firstLine="0"/>
              <w:jc w:val="left"/>
              <w:rPr>
                <w:sz w:val="24"/>
                <w:szCs w:val="28"/>
              </w:rPr>
            </w:pPr>
          </w:p>
        </w:tc>
      </w:tr>
      <w:tr w:rsidR="00904C03"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B20D8" w:rsidRPr="006B20D8" w:rsidRDefault="006B20D8" w:rsidP="006B20D8">
            <w:pPr>
              <w:spacing w:after="100" w:line="259" w:lineRule="auto"/>
              <w:ind w:left="2" w:firstLine="0"/>
              <w:jc w:val="left"/>
              <w:rPr>
                <w:color w:val="00B0F0"/>
                <w:sz w:val="24"/>
                <w:szCs w:val="28"/>
              </w:rPr>
            </w:pPr>
            <w:bookmarkStart w:id="0" w:name="_GoBack"/>
            <w:r w:rsidRPr="006B20D8">
              <w:rPr>
                <w:b/>
                <w:color w:val="00B0F0"/>
                <w:sz w:val="24"/>
                <w:szCs w:val="28"/>
              </w:rPr>
              <w:t xml:space="preserve">S.4.5.4. </w:t>
            </w:r>
            <w:r w:rsidRPr="006B20D8">
              <w:rPr>
                <w:b/>
                <w:color w:val="00B0F0"/>
                <w:sz w:val="24"/>
                <w:szCs w:val="28"/>
              </w:rPr>
              <w:t>L</w:t>
            </w:r>
            <w:r w:rsidRPr="006B20D8">
              <w:rPr>
                <w:b/>
                <w:color w:val="00B0F0"/>
                <w:sz w:val="24"/>
                <w:szCs w:val="28"/>
              </w:rPr>
              <w:t xml:space="preserve">a démarche budgétaire </w:t>
            </w:r>
          </w:p>
          <w:bookmarkEnd w:id="0"/>
          <w:p w:rsidR="00904C03" w:rsidRPr="006B20D8" w:rsidRDefault="00904C03" w:rsidP="00904C03">
            <w:pPr>
              <w:spacing w:after="0" w:line="242" w:lineRule="auto"/>
              <w:ind w:left="2"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904C03" w:rsidRPr="006B20D8" w:rsidRDefault="006B20D8" w:rsidP="00904C03">
            <w:pPr>
              <w:spacing w:after="0" w:line="242" w:lineRule="auto"/>
              <w:ind w:left="0" w:right="52" w:firstLine="0"/>
              <w:rPr>
                <w:sz w:val="24"/>
                <w:szCs w:val="28"/>
              </w:rPr>
            </w:pPr>
            <w:r w:rsidRPr="006B20D8">
              <w:rPr>
                <w:sz w:val="24"/>
                <w:szCs w:val="28"/>
              </w:rPr>
              <w:t>La démarche budgétaire est utilisée afin d’étudier l’impact d’une décision de gestion sur la trésorerie. Les budgets sont donnés, il peut être demandé aux étudiants de simuler l’impact d’une décision de gestion (exploitation, investissement, financement) sur la trésorerie de la PME.</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D58B1"/>
    <w:multiLevelType w:val="hybridMultilevel"/>
    <w:tmpl w:val="85103C34"/>
    <w:lvl w:ilvl="0" w:tplc="E10E5B9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8581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E8E6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45AB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CAA2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838C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AC76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2F5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4BC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3D32BA"/>
    <w:multiLevelType w:val="hybridMultilevel"/>
    <w:tmpl w:val="A16C13D0"/>
    <w:lvl w:ilvl="0" w:tplc="9A6A5AD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E6A2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66A3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463C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EC2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EEAA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C8AB1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4120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00C2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AC2FA4"/>
    <w:multiLevelType w:val="hybridMultilevel"/>
    <w:tmpl w:val="CCB859EE"/>
    <w:lvl w:ilvl="0" w:tplc="7E3AFDA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621B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E554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277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EDD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812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8BF6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4F77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21B4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A427BC"/>
    <w:multiLevelType w:val="hybridMultilevel"/>
    <w:tmpl w:val="3BD8192A"/>
    <w:lvl w:ilvl="0" w:tplc="C82A99D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0240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25A2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9C41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A3F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3028E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7802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8C8AF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6CA0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D40E44"/>
    <w:multiLevelType w:val="hybridMultilevel"/>
    <w:tmpl w:val="EBC69492"/>
    <w:lvl w:ilvl="0" w:tplc="4AA89E4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4652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8CFCB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0C429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EB3D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D44C5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A46C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EDB5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E5E8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0246BD"/>
    <w:multiLevelType w:val="hybridMultilevel"/>
    <w:tmpl w:val="C666BF1A"/>
    <w:lvl w:ilvl="0" w:tplc="E0C47ADE">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C443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46CA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43B6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24E8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2A21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C887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0650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EB0B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A6070BF"/>
    <w:multiLevelType w:val="hybridMultilevel"/>
    <w:tmpl w:val="61300784"/>
    <w:lvl w:ilvl="0" w:tplc="937C918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A96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9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64D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A9C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81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C92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A66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EB046BD"/>
    <w:multiLevelType w:val="hybridMultilevel"/>
    <w:tmpl w:val="01B252A2"/>
    <w:lvl w:ilvl="0" w:tplc="61627E66">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B6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40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8E9D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6C3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F7B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88D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EAE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E4940D1"/>
    <w:multiLevelType w:val="hybridMultilevel"/>
    <w:tmpl w:val="8488F064"/>
    <w:lvl w:ilvl="0" w:tplc="CF466DB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A109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CBA8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2C4A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CC1E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6AD9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0EAC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8D08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A0DB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A846C29"/>
    <w:multiLevelType w:val="hybridMultilevel"/>
    <w:tmpl w:val="5BC4F5CE"/>
    <w:lvl w:ilvl="0" w:tplc="A81E2F6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1C771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0B6D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4FCF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894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C727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2604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6DA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0A90C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12"/>
  </w:num>
  <w:num w:numId="3">
    <w:abstractNumId w:val="22"/>
  </w:num>
  <w:num w:numId="4">
    <w:abstractNumId w:val="8"/>
  </w:num>
  <w:num w:numId="5">
    <w:abstractNumId w:val="18"/>
  </w:num>
  <w:num w:numId="6">
    <w:abstractNumId w:val="0"/>
  </w:num>
  <w:num w:numId="7">
    <w:abstractNumId w:val="4"/>
  </w:num>
  <w:num w:numId="8">
    <w:abstractNumId w:val="13"/>
  </w:num>
  <w:num w:numId="9">
    <w:abstractNumId w:val="10"/>
  </w:num>
  <w:num w:numId="10">
    <w:abstractNumId w:val="14"/>
  </w:num>
  <w:num w:numId="11">
    <w:abstractNumId w:val="16"/>
  </w:num>
  <w:num w:numId="12">
    <w:abstractNumId w:val="20"/>
  </w:num>
  <w:num w:numId="13">
    <w:abstractNumId w:val="5"/>
  </w:num>
  <w:num w:numId="14">
    <w:abstractNumId w:val="15"/>
  </w:num>
  <w:num w:numId="15">
    <w:abstractNumId w:val="1"/>
  </w:num>
  <w:num w:numId="16">
    <w:abstractNumId w:val="24"/>
  </w:num>
  <w:num w:numId="17">
    <w:abstractNumId w:val="19"/>
  </w:num>
  <w:num w:numId="18">
    <w:abstractNumId w:val="17"/>
  </w:num>
  <w:num w:numId="19">
    <w:abstractNumId w:val="11"/>
  </w:num>
  <w:num w:numId="20">
    <w:abstractNumId w:val="6"/>
  </w:num>
  <w:num w:numId="21">
    <w:abstractNumId w:val="2"/>
  </w:num>
  <w:num w:numId="22">
    <w:abstractNumId w:val="23"/>
  </w:num>
  <w:num w:numId="23">
    <w:abstractNumId w:val="21"/>
  </w:num>
  <w:num w:numId="24">
    <w:abstractNumId w:val="9"/>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00037"/>
    <w:rsid w:val="00096CCE"/>
    <w:rsid w:val="000C24AE"/>
    <w:rsid w:val="00141CAD"/>
    <w:rsid w:val="001F3B14"/>
    <w:rsid w:val="0023724B"/>
    <w:rsid w:val="00283084"/>
    <w:rsid w:val="002B0D48"/>
    <w:rsid w:val="0032179F"/>
    <w:rsid w:val="003373A3"/>
    <w:rsid w:val="003E2CD1"/>
    <w:rsid w:val="00442A12"/>
    <w:rsid w:val="00451BE5"/>
    <w:rsid w:val="004C4E37"/>
    <w:rsid w:val="0057150F"/>
    <w:rsid w:val="005E2D42"/>
    <w:rsid w:val="0064605B"/>
    <w:rsid w:val="006B20D8"/>
    <w:rsid w:val="008179FD"/>
    <w:rsid w:val="008E6AAD"/>
    <w:rsid w:val="00904C03"/>
    <w:rsid w:val="00AE684F"/>
    <w:rsid w:val="00AF1575"/>
    <w:rsid w:val="00B8465D"/>
    <w:rsid w:val="00C85DEE"/>
    <w:rsid w:val="00CD2A52"/>
    <w:rsid w:val="00D63654"/>
    <w:rsid w:val="00DE37A3"/>
    <w:rsid w:val="00E0345E"/>
    <w:rsid w:val="00E46846"/>
    <w:rsid w:val="00E81E7D"/>
    <w:rsid w:val="00EA417F"/>
    <w:rsid w:val="00F63BA0"/>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paragraph" w:styleId="Titre2">
    <w:name w:val="heading 2"/>
    <w:next w:val="Normal"/>
    <w:link w:val="Titre2Car"/>
    <w:uiPriority w:val="9"/>
    <w:unhideWhenUsed/>
    <w:qFormat/>
    <w:rsid w:val="00F63BA0"/>
    <w:pPr>
      <w:keepNext/>
      <w:keepLines/>
      <w:spacing w:after="15" w:line="249" w:lineRule="auto"/>
      <w:ind w:left="10" w:hanging="10"/>
      <w:outlineLvl w:val="1"/>
    </w:pPr>
    <w:rPr>
      <w:rFonts w:ascii="Calibri" w:eastAsia="Calibri" w:hAnsi="Calibri" w:cs="Calibri"/>
      <w:b/>
      <w:color w:val="365F91"/>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 w:type="character" w:customStyle="1" w:styleId="Titre2Car">
    <w:name w:val="Titre 2 Car"/>
    <w:basedOn w:val="Policepardfaut"/>
    <w:link w:val="Titre2"/>
    <w:uiPriority w:val="9"/>
    <w:rsid w:val="00F63BA0"/>
    <w:rPr>
      <w:rFonts w:ascii="Calibri" w:eastAsia="Calibri" w:hAnsi="Calibri" w:cs="Calibri"/>
      <w:b/>
      <w:color w:val="365F91"/>
      <w:sz w:val="28"/>
      <w:lang w:eastAsia="fr-FR"/>
    </w:rPr>
  </w:style>
  <w:style w:type="character" w:styleId="Lienhypertexte">
    <w:name w:val="Hyperlink"/>
    <w:basedOn w:val="Policepardfaut"/>
    <w:uiPriority w:val="99"/>
    <w:unhideWhenUsed/>
    <w:rsid w:val="00904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2021-02-12T18:21:00Z</dcterms:created>
  <dcterms:modified xsi:type="dcterms:W3CDTF">2021-02-12T18:24:00Z</dcterms:modified>
</cp:coreProperties>
</file>