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0C24AE" w:rsidP="004C4E37">
            <w:pPr>
              <w:spacing w:after="0" w:line="259" w:lineRule="auto"/>
              <w:ind w:left="0" w:firstLine="0"/>
              <w:jc w:val="left"/>
            </w:pPr>
            <w:r>
              <w:rPr>
                <w:b/>
                <w:sz w:val="24"/>
              </w:rPr>
              <w:t>Bloc de compétences 4</w:t>
            </w:r>
            <w:r w:rsidR="00FE2001">
              <w:rPr>
                <w:rFonts w:ascii="Arial" w:eastAsia="Arial" w:hAnsi="Arial" w:cs="Arial"/>
                <w:b/>
                <w:sz w:val="24"/>
              </w:rPr>
              <w:t xml:space="preserve"> </w:t>
            </w:r>
            <w:r w:rsidR="00FE2001">
              <w:rPr>
                <w:b/>
                <w:sz w:val="24"/>
              </w:rPr>
              <w:t xml:space="preserve">: </w:t>
            </w:r>
            <w:r>
              <w:rPr>
                <w:b/>
                <w:sz w:val="24"/>
              </w:rPr>
              <w:t>S</w:t>
            </w:r>
            <w:r>
              <w:rPr>
                <w:b/>
                <w:sz w:val="24"/>
              </w:rPr>
              <w:t>outenir le fonctionnement et le développement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700873" w:rsidP="006A1F67">
            <w:pPr>
              <w:spacing w:after="0" w:line="259" w:lineRule="auto"/>
              <w:ind w:left="0" w:firstLine="0"/>
              <w:jc w:val="center"/>
              <w:rPr>
                <w:b/>
                <w:bCs/>
                <w:color w:val="00B0F0"/>
                <w:sz w:val="24"/>
                <w:szCs w:val="28"/>
              </w:rPr>
            </w:pPr>
            <w:r w:rsidRPr="00700873">
              <w:rPr>
                <w:b/>
                <w:color w:val="00B0F0"/>
                <w:sz w:val="28"/>
                <w:szCs w:val="32"/>
              </w:rPr>
              <w:t>Activité 4.6. Participation au diagnostic financier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440D6B" w:rsidRPr="007C0EFF" w:rsidRDefault="00440D6B" w:rsidP="00440D6B">
            <w:pPr>
              <w:spacing w:after="0" w:line="242" w:lineRule="auto"/>
              <w:ind w:left="2" w:firstLine="0"/>
              <w:jc w:val="left"/>
              <w:rPr>
                <w:color w:val="00B0F0"/>
                <w:sz w:val="24"/>
                <w:szCs w:val="28"/>
              </w:rPr>
            </w:pPr>
            <w:r w:rsidRPr="007C0EFF">
              <w:rPr>
                <w:b/>
                <w:color w:val="00B0F0"/>
                <w:sz w:val="24"/>
                <w:szCs w:val="28"/>
              </w:rPr>
              <w:t xml:space="preserve">S 4.6.1 L'analyse financière de l'entreprise </w:t>
            </w:r>
          </w:p>
          <w:p w:rsidR="00440D6B" w:rsidRPr="007C0EFF" w:rsidRDefault="00440D6B" w:rsidP="00440D6B">
            <w:pPr>
              <w:numPr>
                <w:ilvl w:val="0"/>
                <w:numId w:val="27"/>
              </w:numPr>
              <w:spacing w:after="2" w:line="239" w:lineRule="auto"/>
              <w:ind w:right="200" w:firstLine="0"/>
              <w:jc w:val="left"/>
              <w:rPr>
                <w:sz w:val="24"/>
                <w:szCs w:val="28"/>
              </w:rPr>
            </w:pPr>
            <w:r w:rsidRPr="007C0EFF">
              <w:rPr>
                <w:sz w:val="24"/>
                <w:szCs w:val="28"/>
              </w:rPr>
              <w:t xml:space="preserve">Rôle et structure du bilan et du compte de résultat </w:t>
            </w:r>
          </w:p>
          <w:p w:rsidR="00440D6B" w:rsidRPr="007C0EFF" w:rsidRDefault="00440D6B" w:rsidP="00440D6B">
            <w:pPr>
              <w:numPr>
                <w:ilvl w:val="0"/>
                <w:numId w:val="27"/>
              </w:numPr>
              <w:spacing w:after="0" w:line="259" w:lineRule="auto"/>
              <w:ind w:right="200" w:firstLine="0"/>
              <w:jc w:val="left"/>
              <w:rPr>
                <w:sz w:val="24"/>
                <w:szCs w:val="28"/>
              </w:rPr>
            </w:pPr>
            <w:r w:rsidRPr="007C0EFF">
              <w:rPr>
                <w:sz w:val="24"/>
                <w:szCs w:val="28"/>
              </w:rPr>
              <w:t xml:space="preserve">Les différents cycles : exploitation, financement et investissement </w:t>
            </w:r>
          </w:p>
          <w:p w:rsidR="0064605B" w:rsidRPr="007C0EFF" w:rsidRDefault="00440D6B" w:rsidP="00440D6B">
            <w:pPr>
              <w:pStyle w:val="Paragraphedeliste"/>
              <w:numPr>
                <w:ilvl w:val="0"/>
                <w:numId w:val="27"/>
              </w:numPr>
              <w:spacing w:after="0" w:line="259" w:lineRule="auto"/>
              <w:jc w:val="left"/>
              <w:rPr>
                <w:sz w:val="24"/>
                <w:szCs w:val="28"/>
              </w:rPr>
            </w:pPr>
            <w:r w:rsidRPr="007C0EFF">
              <w:rPr>
                <w:sz w:val="24"/>
                <w:szCs w:val="28"/>
              </w:rPr>
              <w:t>Analyse fonctionnelle du bilan</w:t>
            </w:r>
          </w:p>
          <w:p w:rsidR="00440D6B" w:rsidRPr="007C0EFF" w:rsidRDefault="00440D6B" w:rsidP="00440D6B">
            <w:pPr>
              <w:numPr>
                <w:ilvl w:val="0"/>
                <w:numId w:val="28"/>
              </w:numPr>
              <w:spacing w:after="2" w:line="239" w:lineRule="auto"/>
              <w:ind w:firstLine="0"/>
              <w:jc w:val="left"/>
              <w:rPr>
                <w:sz w:val="24"/>
                <w:szCs w:val="28"/>
              </w:rPr>
            </w:pPr>
            <w:r w:rsidRPr="007C0EFF">
              <w:rPr>
                <w:sz w:val="24"/>
                <w:szCs w:val="28"/>
              </w:rPr>
              <w:t xml:space="preserve">Analyse fonctionnelle du compte de résultat </w:t>
            </w:r>
          </w:p>
          <w:p w:rsidR="00440D6B" w:rsidRPr="007C0EFF" w:rsidRDefault="00440D6B" w:rsidP="00440D6B">
            <w:pPr>
              <w:numPr>
                <w:ilvl w:val="0"/>
                <w:numId w:val="28"/>
              </w:numPr>
              <w:spacing w:after="0" w:line="259" w:lineRule="auto"/>
              <w:ind w:firstLine="0"/>
              <w:jc w:val="left"/>
              <w:rPr>
                <w:sz w:val="24"/>
                <w:szCs w:val="28"/>
              </w:rPr>
            </w:pPr>
            <w:r w:rsidRPr="007C0EFF">
              <w:rPr>
                <w:sz w:val="24"/>
                <w:szCs w:val="28"/>
              </w:rPr>
              <w:t xml:space="preserve">Soldes intermédiaires de gestion </w:t>
            </w:r>
          </w:p>
          <w:p w:rsidR="00440D6B" w:rsidRPr="007C0EFF" w:rsidRDefault="00440D6B" w:rsidP="00440D6B">
            <w:pPr>
              <w:numPr>
                <w:ilvl w:val="0"/>
                <w:numId w:val="28"/>
              </w:numPr>
              <w:spacing w:after="0" w:line="259" w:lineRule="auto"/>
              <w:ind w:firstLine="0"/>
              <w:jc w:val="left"/>
              <w:rPr>
                <w:sz w:val="24"/>
                <w:szCs w:val="28"/>
              </w:rPr>
            </w:pPr>
            <w:r w:rsidRPr="007C0EFF">
              <w:rPr>
                <w:sz w:val="24"/>
                <w:szCs w:val="28"/>
              </w:rPr>
              <w:t xml:space="preserve">Capacité d'autofinancement, </w:t>
            </w:r>
          </w:p>
          <w:p w:rsidR="00440D6B" w:rsidRPr="007C0EFF" w:rsidRDefault="00440D6B" w:rsidP="00440D6B">
            <w:pPr>
              <w:numPr>
                <w:ilvl w:val="0"/>
                <w:numId w:val="28"/>
              </w:numPr>
              <w:spacing w:after="0" w:line="259" w:lineRule="auto"/>
              <w:ind w:firstLine="0"/>
              <w:jc w:val="left"/>
              <w:rPr>
                <w:sz w:val="24"/>
                <w:szCs w:val="28"/>
              </w:rPr>
            </w:pPr>
            <w:r w:rsidRPr="007C0EFF">
              <w:rPr>
                <w:sz w:val="24"/>
                <w:szCs w:val="28"/>
              </w:rPr>
              <w:t xml:space="preserve">Principaux ratios financiers </w:t>
            </w:r>
          </w:p>
          <w:p w:rsidR="00440D6B" w:rsidRPr="007C0EFF" w:rsidRDefault="00440D6B" w:rsidP="00440D6B">
            <w:pPr>
              <w:spacing w:after="0" w:line="259" w:lineRule="auto"/>
              <w:ind w:left="2" w:firstLine="0"/>
              <w:jc w:val="left"/>
              <w:rPr>
                <w:sz w:val="24"/>
                <w:szCs w:val="28"/>
              </w:rPr>
            </w:pPr>
            <w:r w:rsidRPr="007C0EFF">
              <w:rPr>
                <w:sz w:val="24"/>
                <w:szCs w:val="28"/>
              </w:rPr>
              <w:t xml:space="preserve"> </w:t>
            </w:r>
          </w:p>
          <w:p w:rsidR="00440D6B" w:rsidRPr="007C0EFF" w:rsidRDefault="00440D6B" w:rsidP="00440D6B">
            <w:pPr>
              <w:spacing w:after="0" w:line="259" w:lineRule="auto"/>
              <w:jc w:val="left"/>
              <w:rPr>
                <w:b/>
                <w:bCs/>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440D6B" w:rsidRPr="007C0EFF" w:rsidRDefault="00440D6B" w:rsidP="00440D6B">
            <w:pPr>
              <w:spacing w:after="2" w:line="239" w:lineRule="auto"/>
              <w:ind w:left="0" w:firstLine="0"/>
              <w:rPr>
                <w:sz w:val="24"/>
                <w:szCs w:val="28"/>
              </w:rPr>
            </w:pPr>
            <w:r w:rsidRPr="007C0EFF">
              <w:rPr>
                <w:sz w:val="24"/>
                <w:szCs w:val="28"/>
              </w:rPr>
              <w:t xml:space="preserve">Le PGI peut être utilement utilisé pour extraire des indicateurs utiles et le tableur pour le traitement et l’analyse de l’activité de l’entreprise. </w:t>
            </w:r>
          </w:p>
          <w:p w:rsidR="00440D6B" w:rsidRPr="007C0EFF" w:rsidRDefault="00440D6B" w:rsidP="00440D6B">
            <w:pPr>
              <w:spacing w:after="1" w:line="241" w:lineRule="auto"/>
              <w:ind w:left="0" w:right="46" w:firstLine="0"/>
              <w:rPr>
                <w:sz w:val="24"/>
                <w:szCs w:val="28"/>
              </w:rPr>
            </w:pPr>
            <w:r w:rsidRPr="007C0EFF">
              <w:rPr>
                <w:sz w:val="24"/>
                <w:szCs w:val="28"/>
              </w:rPr>
              <w:t xml:space="preserve"> On détermine les grandes masses du bilan fonctionnel, ses valeurs structurelles, en vue de calculer le fonds de roulement net global (FRNG), le besoin en fonds de roulement (BFR), la trésorerie nette (TN) et d'établir une relation entre ces éléments. </w:t>
            </w:r>
          </w:p>
          <w:p w:rsidR="0064605B" w:rsidRPr="007C0EFF" w:rsidRDefault="00440D6B" w:rsidP="00440D6B">
            <w:pPr>
              <w:pStyle w:val="Paragraphedeliste"/>
              <w:spacing w:after="0" w:line="241" w:lineRule="auto"/>
              <w:ind w:left="0" w:right="46" w:firstLine="0"/>
              <w:rPr>
                <w:sz w:val="24"/>
                <w:szCs w:val="28"/>
              </w:rPr>
            </w:pPr>
            <w:r w:rsidRPr="007C0EFF">
              <w:rPr>
                <w:sz w:val="24"/>
                <w:szCs w:val="28"/>
              </w:rPr>
              <w:t>On calcule et on interprète les soldes intermédiaires de gestion, la capacité d’autofinancement et les ratios en vue d’un diagnostic financier.</w:t>
            </w:r>
            <w:r w:rsidRPr="007C0EFF">
              <w:rPr>
                <w:b/>
                <w:sz w:val="24"/>
                <w:szCs w:val="28"/>
              </w:rPr>
              <w:t xml:space="preserve"> </w:t>
            </w:r>
            <w:r w:rsidRPr="007C0EFF">
              <w:rPr>
                <w:sz w:val="24"/>
                <w:szCs w:val="28"/>
              </w:rPr>
              <w:t>Les modèles de ratios sont fournis.</w:t>
            </w:r>
          </w:p>
          <w:p w:rsidR="00440D6B" w:rsidRPr="007C0EFF" w:rsidRDefault="00440D6B" w:rsidP="00440D6B">
            <w:pPr>
              <w:spacing w:after="1" w:line="241" w:lineRule="auto"/>
              <w:ind w:left="0" w:right="49" w:firstLine="0"/>
              <w:rPr>
                <w:sz w:val="24"/>
                <w:szCs w:val="28"/>
              </w:rPr>
            </w:pPr>
            <w:r w:rsidRPr="007C0EFF">
              <w:rPr>
                <w:sz w:val="24"/>
                <w:szCs w:val="28"/>
              </w:rPr>
              <w:t xml:space="preserve">Les charges à répartir, les primes de remboursement, les comptes courants d’associés, les subventions, les incorporations de créances au capital, le cas d’un capital partiellement libéré, les écarts de conversion et les intérêts courus sont exclus. </w:t>
            </w:r>
          </w:p>
          <w:p w:rsidR="00440D6B" w:rsidRPr="007C0EFF" w:rsidRDefault="00440D6B" w:rsidP="00440D6B">
            <w:pPr>
              <w:spacing w:after="2" w:line="239" w:lineRule="auto"/>
              <w:ind w:left="0" w:firstLine="0"/>
              <w:rPr>
                <w:sz w:val="24"/>
                <w:szCs w:val="28"/>
              </w:rPr>
            </w:pPr>
            <w:r w:rsidRPr="007C0EFF">
              <w:rPr>
                <w:sz w:val="24"/>
                <w:szCs w:val="28"/>
              </w:rPr>
              <w:t xml:space="preserve">On se limite à la compréhension des principaux postes d’un plan de financement : </w:t>
            </w:r>
          </w:p>
          <w:p w:rsidR="00440D6B" w:rsidRPr="007C0EFF" w:rsidRDefault="00440D6B" w:rsidP="00440D6B">
            <w:pPr>
              <w:numPr>
                <w:ilvl w:val="0"/>
                <w:numId w:val="29"/>
              </w:numPr>
              <w:spacing w:after="11" w:line="242" w:lineRule="auto"/>
              <w:ind w:firstLine="0"/>
              <w:jc w:val="left"/>
              <w:rPr>
                <w:sz w:val="24"/>
                <w:szCs w:val="28"/>
              </w:rPr>
            </w:pPr>
            <w:proofErr w:type="gramStart"/>
            <w:r w:rsidRPr="007C0EFF">
              <w:rPr>
                <w:sz w:val="24"/>
                <w:szCs w:val="28"/>
              </w:rPr>
              <w:t>dans</w:t>
            </w:r>
            <w:proofErr w:type="gramEnd"/>
            <w:r w:rsidRPr="007C0EFF">
              <w:rPr>
                <w:sz w:val="24"/>
                <w:szCs w:val="28"/>
              </w:rPr>
              <w:t xml:space="preserve"> les emplois : acquisition d’immobilisations, remboursement des dettes financières, augmentation du besoin en fonds de roulement. </w:t>
            </w:r>
          </w:p>
          <w:p w:rsidR="00440D6B" w:rsidRPr="007C0EFF" w:rsidRDefault="00440D6B" w:rsidP="00440D6B">
            <w:pPr>
              <w:numPr>
                <w:ilvl w:val="0"/>
                <w:numId w:val="29"/>
              </w:numPr>
              <w:spacing w:after="0" w:line="242" w:lineRule="auto"/>
              <w:ind w:firstLine="0"/>
              <w:jc w:val="left"/>
              <w:rPr>
                <w:sz w:val="24"/>
                <w:szCs w:val="28"/>
              </w:rPr>
            </w:pPr>
            <w:proofErr w:type="gramStart"/>
            <w:r w:rsidRPr="007C0EFF">
              <w:rPr>
                <w:sz w:val="24"/>
                <w:szCs w:val="28"/>
              </w:rPr>
              <w:t>dans</w:t>
            </w:r>
            <w:proofErr w:type="gramEnd"/>
            <w:r w:rsidRPr="007C0EFF">
              <w:rPr>
                <w:sz w:val="24"/>
                <w:szCs w:val="28"/>
              </w:rPr>
              <w:t xml:space="preserve"> les </w:t>
            </w:r>
            <w:r w:rsidRPr="007C0EFF">
              <w:rPr>
                <w:sz w:val="24"/>
                <w:szCs w:val="28"/>
              </w:rPr>
              <w:tab/>
              <w:t xml:space="preserve">ressources : capacité d’autofinancement, </w:t>
            </w:r>
            <w:r w:rsidRPr="007C0EFF">
              <w:rPr>
                <w:sz w:val="24"/>
                <w:szCs w:val="28"/>
              </w:rPr>
              <w:t xml:space="preserve">cessions d’immobilisations, augmentation de capital, emprunts nouveaux. </w:t>
            </w:r>
          </w:p>
          <w:p w:rsidR="00440D6B" w:rsidRPr="007C0EFF" w:rsidRDefault="00440D6B" w:rsidP="00440D6B">
            <w:pPr>
              <w:pStyle w:val="Paragraphedeliste"/>
              <w:spacing w:after="0" w:line="241" w:lineRule="auto"/>
              <w:ind w:left="0" w:right="46" w:firstLine="0"/>
              <w:rPr>
                <w:b/>
                <w:bCs/>
                <w:sz w:val="24"/>
                <w:szCs w:val="28"/>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440D6B" w:rsidRPr="007C0EFF" w:rsidRDefault="00440D6B" w:rsidP="00440D6B">
            <w:pPr>
              <w:spacing w:after="0" w:line="259" w:lineRule="auto"/>
              <w:ind w:left="2" w:firstLine="0"/>
              <w:jc w:val="left"/>
              <w:rPr>
                <w:color w:val="00B0F0"/>
                <w:sz w:val="24"/>
                <w:szCs w:val="28"/>
              </w:rPr>
            </w:pPr>
            <w:r w:rsidRPr="007C0EFF">
              <w:rPr>
                <w:b/>
                <w:color w:val="00B0F0"/>
                <w:sz w:val="24"/>
                <w:szCs w:val="28"/>
              </w:rPr>
              <w:t xml:space="preserve">S 4.6.2 Le plan de financement </w:t>
            </w:r>
          </w:p>
          <w:p w:rsidR="00440D6B" w:rsidRPr="007C0EFF" w:rsidRDefault="00440D6B" w:rsidP="00440D6B">
            <w:pPr>
              <w:numPr>
                <w:ilvl w:val="0"/>
                <w:numId w:val="30"/>
              </w:numPr>
              <w:spacing w:after="0" w:line="259" w:lineRule="auto"/>
              <w:ind w:hanging="106"/>
              <w:jc w:val="left"/>
              <w:rPr>
                <w:sz w:val="24"/>
                <w:szCs w:val="28"/>
              </w:rPr>
            </w:pPr>
            <w:r w:rsidRPr="007C0EFF">
              <w:rPr>
                <w:sz w:val="24"/>
                <w:szCs w:val="28"/>
              </w:rPr>
              <w:t xml:space="preserve">Emplois </w:t>
            </w:r>
          </w:p>
          <w:p w:rsidR="00440D6B" w:rsidRPr="007C0EFF" w:rsidRDefault="00440D6B" w:rsidP="00440D6B">
            <w:pPr>
              <w:numPr>
                <w:ilvl w:val="0"/>
                <w:numId w:val="30"/>
              </w:numPr>
              <w:spacing w:after="0" w:line="259" w:lineRule="auto"/>
              <w:ind w:hanging="106"/>
              <w:jc w:val="left"/>
              <w:rPr>
                <w:sz w:val="24"/>
                <w:szCs w:val="28"/>
              </w:rPr>
            </w:pPr>
            <w:r w:rsidRPr="007C0EFF">
              <w:rPr>
                <w:sz w:val="24"/>
                <w:szCs w:val="28"/>
              </w:rPr>
              <w:t xml:space="preserve">Ressources </w:t>
            </w:r>
          </w:p>
          <w:p w:rsidR="00440D6B" w:rsidRPr="007C0EFF" w:rsidRDefault="00440D6B" w:rsidP="00440D6B">
            <w:pPr>
              <w:spacing w:after="0" w:line="259" w:lineRule="auto"/>
              <w:ind w:left="2" w:firstLine="0"/>
              <w:jc w:val="left"/>
              <w:rPr>
                <w:sz w:val="24"/>
                <w:szCs w:val="28"/>
              </w:rPr>
            </w:pPr>
            <w:r w:rsidRPr="007C0EFF">
              <w:rPr>
                <w:sz w:val="24"/>
                <w:szCs w:val="28"/>
              </w:rPr>
              <w:t xml:space="preserve"> </w:t>
            </w:r>
          </w:p>
          <w:p w:rsidR="00096CCE" w:rsidRPr="007C0EFF" w:rsidRDefault="00096CCE" w:rsidP="000C24AE">
            <w:pPr>
              <w:spacing w:after="1" w:line="241" w:lineRule="auto"/>
              <w:ind w:left="2" w:right="146"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440D6B" w:rsidRPr="007C0EFF" w:rsidRDefault="00440D6B" w:rsidP="00440D6B">
            <w:pPr>
              <w:spacing w:after="1" w:line="240" w:lineRule="auto"/>
              <w:ind w:left="0" w:right="48" w:firstLine="0"/>
              <w:rPr>
                <w:sz w:val="24"/>
                <w:szCs w:val="28"/>
              </w:rPr>
            </w:pPr>
            <w:r w:rsidRPr="007C0EFF">
              <w:rPr>
                <w:sz w:val="24"/>
                <w:szCs w:val="28"/>
              </w:rPr>
              <w:t xml:space="preserve">Le plan de financement est réalisé sur une durée de 3 à 5 périodes au maximum. La première période est décomposée en deux colonnes afin de différencier les sommes perçues en début et la fin de la période 1 </w:t>
            </w:r>
          </w:p>
          <w:p w:rsidR="00096CCE" w:rsidRPr="007C0EFF" w:rsidRDefault="00096CCE" w:rsidP="00D63654">
            <w:pPr>
              <w:spacing w:after="1" w:line="241" w:lineRule="auto"/>
              <w:ind w:left="0" w:right="52" w:firstLine="0"/>
              <w:rPr>
                <w:sz w:val="24"/>
                <w:szCs w:val="28"/>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440D6B" w:rsidRPr="007C0EFF" w:rsidRDefault="00440D6B" w:rsidP="00440D6B">
            <w:pPr>
              <w:spacing w:after="0" w:line="242" w:lineRule="auto"/>
              <w:ind w:left="2" w:firstLine="0"/>
              <w:jc w:val="left"/>
              <w:rPr>
                <w:color w:val="00B0F0"/>
                <w:sz w:val="24"/>
                <w:szCs w:val="28"/>
              </w:rPr>
            </w:pPr>
            <w:bookmarkStart w:id="0" w:name="_GoBack"/>
            <w:r w:rsidRPr="007C0EFF">
              <w:rPr>
                <w:b/>
                <w:color w:val="00B0F0"/>
                <w:sz w:val="24"/>
                <w:szCs w:val="28"/>
              </w:rPr>
              <w:t xml:space="preserve">S 4.6.3 Les modes de financement des investissements </w:t>
            </w:r>
          </w:p>
          <w:bookmarkEnd w:id="0"/>
          <w:p w:rsidR="00440D6B" w:rsidRPr="007C0EFF" w:rsidRDefault="00440D6B" w:rsidP="00440D6B">
            <w:pPr>
              <w:numPr>
                <w:ilvl w:val="0"/>
                <w:numId w:val="31"/>
              </w:numPr>
              <w:spacing w:after="0" w:line="259" w:lineRule="auto"/>
              <w:ind w:hanging="106"/>
              <w:jc w:val="left"/>
              <w:rPr>
                <w:sz w:val="24"/>
                <w:szCs w:val="28"/>
              </w:rPr>
            </w:pPr>
            <w:r w:rsidRPr="007C0EFF">
              <w:rPr>
                <w:sz w:val="24"/>
                <w:szCs w:val="28"/>
              </w:rPr>
              <w:t xml:space="preserve">Augmentations de capital </w:t>
            </w:r>
          </w:p>
          <w:p w:rsidR="00440D6B" w:rsidRPr="007C0EFF" w:rsidRDefault="00440D6B" w:rsidP="00440D6B">
            <w:pPr>
              <w:numPr>
                <w:ilvl w:val="0"/>
                <w:numId w:val="31"/>
              </w:numPr>
              <w:spacing w:after="0" w:line="259" w:lineRule="auto"/>
              <w:ind w:hanging="106"/>
              <w:jc w:val="left"/>
              <w:rPr>
                <w:sz w:val="24"/>
                <w:szCs w:val="28"/>
              </w:rPr>
            </w:pPr>
            <w:r w:rsidRPr="007C0EFF">
              <w:rPr>
                <w:sz w:val="24"/>
                <w:szCs w:val="28"/>
              </w:rPr>
              <w:t xml:space="preserve">Emprunts indivis </w:t>
            </w:r>
          </w:p>
          <w:p w:rsidR="00440D6B" w:rsidRPr="007C0EFF" w:rsidRDefault="00440D6B" w:rsidP="00440D6B">
            <w:pPr>
              <w:numPr>
                <w:ilvl w:val="0"/>
                <w:numId w:val="31"/>
              </w:numPr>
              <w:spacing w:after="0" w:line="259" w:lineRule="auto"/>
              <w:ind w:hanging="106"/>
              <w:jc w:val="left"/>
              <w:rPr>
                <w:sz w:val="24"/>
                <w:szCs w:val="28"/>
              </w:rPr>
            </w:pPr>
            <w:r w:rsidRPr="007C0EFF">
              <w:rPr>
                <w:sz w:val="24"/>
                <w:szCs w:val="28"/>
              </w:rPr>
              <w:t xml:space="preserve">Crédit-bail mobilier </w:t>
            </w:r>
          </w:p>
          <w:p w:rsidR="000C24AE" w:rsidRPr="007C0EFF" w:rsidRDefault="00440D6B" w:rsidP="00440D6B">
            <w:pPr>
              <w:spacing w:after="0" w:line="259" w:lineRule="auto"/>
              <w:ind w:left="2" w:firstLine="0"/>
              <w:jc w:val="left"/>
              <w:rPr>
                <w:b/>
                <w:sz w:val="24"/>
                <w:szCs w:val="28"/>
              </w:rPr>
            </w:pPr>
            <w:r w:rsidRPr="007C0EFF">
              <w:rPr>
                <w:sz w:val="24"/>
                <w:szCs w:val="28"/>
              </w:rPr>
              <w:t>Critères de choix</w:t>
            </w:r>
          </w:p>
        </w:tc>
        <w:tc>
          <w:tcPr>
            <w:tcW w:w="6390" w:type="dxa"/>
            <w:tcBorders>
              <w:top w:val="single" w:sz="8" w:space="0" w:color="000000"/>
              <w:left w:val="single" w:sz="8" w:space="0" w:color="000000"/>
              <w:bottom w:val="single" w:sz="8" w:space="0" w:color="000000"/>
              <w:right w:val="single" w:sz="8" w:space="0" w:color="000000"/>
            </w:tcBorders>
            <w:vAlign w:val="center"/>
          </w:tcPr>
          <w:p w:rsidR="00440D6B" w:rsidRPr="007C0EFF" w:rsidRDefault="00440D6B" w:rsidP="00440D6B">
            <w:pPr>
              <w:spacing w:after="0" w:line="242" w:lineRule="auto"/>
              <w:ind w:left="0" w:right="53" w:firstLine="0"/>
              <w:rPr>
                <w:sz w:val="24"/>
                <w:szCs w:val="28"/>
              </w:rPr>
            </w:pPr>
            <w:r w:rsidRPr="007C0EFF">
              <w:rPr>
                <w:sz w:val="24"/>
                <w:szCs w:val="28"/>
              </w:rPr>
              <w:t xml:space="preserve">L'étude des emprunts indivis comprend les emprunts par amortissements constants et par annuités constantes. On se limite à l’explication des mécanismes et à la comparaison des tableaux d’emprunt. </w:t>
            </w:r>
          </w:p>
          <w:p w:rsidR="00440D6B" w:rsidRPr="007C0EFF" w:rsidRDefault="00440D6B" w:rsidP="00440D6B">
            <w:pPr>
              <w:spacing w:after="0" w:line="242" w:lineRule="auto"/>
              <w:ind w:left="0" w:firstLine="0"/>
              <w:rPr>
                <w:sz w:val="24"/>
                <w:szCs w:val="28"/>
              </w:rPr>
            </w:pPr>
            <w:r w:rsidRPr="007C0EFF">
              <w:rPr>
                <w:sz w:val="24"/>
                <w:szCs w:val="28"/>
              </w:rPr>
              <w:t xml:space="preserve">L’étude prévoit que les étudiants calculent le coût d'un crédit-bail afin de le comparer au crédit classique. </w:t>
            </w:r>
          </w:p>
          <w:p w:rsidR="000C24AE" w:rsidRPr="007C0EFF" w:rsidRDefault="00440D6B" w:rsidP="00440D6B">
            <w:pPr>
              <w:spacing w:after="0" w:line="259" w:lineRule="auto"/>
              <w:ind w:left="0" w:firstLine="0"/>
              <w:jc w:val="left"/>
              <w:rPr>
                <w:sz w:val="24"/>
                <w:szCs w:val="28"/>
              </w:rPr>
            </w:pPr>
            <w:r w:rsidRPr="007C0EFF">
              <w:rPr>
                <w:sz w:val="24"/>
                <w:szCs w:val="28"/>
              </w:rPr>
              <w:lastRenderedPageBreak/>
              <w:t>Les notions de rentabilité économique, rentabilité financière et effet de levier ne sont pas étudiées.</w:t>
            </w:r>
          </w:p>
        </w:tc>
      </w:tr>
      <w:tr w:rsidR="00904C03"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904C03" w:rsidRPr="006B20D8" w:rsidRDefault="00904C03" w:rsidP="00904C03">
            <w:pPr>
              <w:spacing w:after="0" w:line="242" w:lineRule="auto"/>
              <w:ind w:left="2"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904C03" w:rsidRPr="006B20D8" w:rsidRDefault="00904C03" w:rsidP="00904C03">
            <w:pPr>
              <w:spacing w:after="0" w:line="242" w:lineRule="auto"/>
              <w:ind w:left="0" w:right="52" w:firstLine="0"/>
              <w:rPr>
                <w:sz w:val="24"/>
                <w:szCs w:val="28"/>
              </w:rPr>
            </w:pP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D32BA"/>
    <w:multiLevelType w:val="hybridMultilevel"/>
    <w:tmpl w:val="A16C13D0"/>
    <w:lvl w:ilvl="0" w:tplc="9A6A5AD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E6A2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A3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463C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C2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A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8AB1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4120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00C2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A427BC"/>
    <w:multiLevelType w:val="hybridMultilevel"/>
    <w:tmpl w:val="3BD8192A"/>
    <w:lvl w:ilvl="0" w:tplc="C82A99D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0240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25A2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C41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A3F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028E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802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C8AF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6CA0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D40E44"/>
    <w:multiLevelType w:val="hybridMultilevel"/>
    <w:tmpl w:val="EBC69492"/>
    <w:lvl w:ilvl="0" w:tplc="4AA89E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4652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CFCB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C429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EB3D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44C5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46C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DB5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5E8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586A27"/>
    <w:multiLevelType w:val="hybridMultilevel"/>
    <w:tmpl w:val="7572F38C"/>
    <w:lvl w:ilvl="0" w:tplc="05E4695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A0A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4CAF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80E8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4924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A3B2C">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EDE5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AA36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964CC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B62EFD"/>
    <w:multiLevelType w:val="hybridMultilevel"/>
    <w:tmpl w:val="C246AB96"/>
    <w:lvl w:ilvl="0" w:tplc="12B656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81C2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CB0E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C5D2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4F2B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6B69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CAD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8E36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43F9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B8045E"/>
    <w:multiLevelType w:val="hybridMultilevel"/>
    <w:tmpl w:val="685C1F2C"/>
    <w:lvl w:ilvl="0" w:tplc="637CEDB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06F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682B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EDF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27E9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196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94166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2400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A5D4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0E6383"/>
    <w:multiLevelType w:val="hybridMultilevel"/>
    <w:tmpl w:val="20025232"/>
    <w:lvl w:ilvl="0" w:tplc="986CEFD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A316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818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AA5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80A6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0CCB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0CE8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8C5D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4B68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E4940D1"/>
    <w:multiLevelType w:val="hybridMultilevel"/>
    <w:tmpl w:val="8488F064"/>
    <w:lvl w:ilvl="0" w:tplc="CF466DB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A109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BA8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2C4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1E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6AD9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AC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8D0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DB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48568CD"/>
    <w:multiLevelType w:val="hybridMultilevel"/>
    <w:tmpl w:val="A8E83E74"/>
    <w:lvl w:ilvl="0" w:tplc="5FE423D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E82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CA12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A2D0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046B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2D88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A6E6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9D5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EB3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15"/>
  </w:num>
  <w:num w:numId="3">
    <w:abstractNumId w:val="26"/>
  </w:num>
  <w:num w:numId="4">
    <w:abstractNumId w:val="8"/>
  </w:num>
  <w:num w:numId="5">
    <w:abstractNumId w:val="22"/>
  </w:num>
  <w:num w:numId="6">
    <w:abstractNumId w:val="0"/>
  </w:num>
  <w:num w:numId="7">
    <w:abstractNumId w:val="4"/>
  </w:num>
  <w:num w:numId="8">
    <w:abstractNumId w:val="17"/>
  </w:num>
  <w:num w:numId="9">
    <w:abstractNumId w:val="10"/>
  </w:num>
  <w:num w:numId="10">
    <w:abstractNumId w:val="18"/>
  </w:num>
  <w:num w:numId="11">
    <w:abstractNumId w:val="20"/>
  </w:num>
  <w:num w:numId="12">
    <w:abstractNumId w:val="24"/>
  </w:num>
  <w:num w:numId="13">
    <w:abstractNumId w:val="5"/>
  </w:num>
  <w:num w:numId="14">
    <w:abstractNumId w:val="19"/>
  </w:num>
  <w:num w:numId="15">
    <w:abstractNumId w:val="1"/>
  </w:num>
  <w:num w:numId="16">
    <w:abstractNumId w:val="29"/>
  </w:num>
  <w:num w:numId="17">
    <w:abstractNumId w:val="23"/>
  </w:num>
  <w:num w:numId="18">
    <w:abstractNumId w:val="21"/>
  </w:num>
  <w:num w:numId="19">
    <w:abstractNumId w:val="11"/>
  </w:num>
  <w:num w:numId="20">
    <w:abstractNumId w:val="6"/>
  </w:num>
  <w:num w:numId="21">
    <w:abstractNumId w:val="2"/>
  </w:num>
  <w:num w:numId="22">
    <w:abstractNumId w:val="28"/>
  </w:num>
  <w:num w:numId="23">
    <w:abstractNumId w:val="25"/>
  </w:num>
  <w:num w:numId="24">
    <w:abstractNumId w:val="9"/>
  </w:num>
  <w:num w:numId="25">
    <w:abstractNumId w:val="3"/>
  </w:num>
  <w:num w:numId="26">
    <w:abstractNumId w:val="7"/>
  </w:num>
  <w:num w:numId="27">
    <w:abstractNumId w:val="16"/>
  </w:num>
  <w:num w:numId="28">
    <w:abstractNumId w:val="27"/>
  </w:num>
  <w:num w:numId="29">
    <w:abstractNumId w:val="13"/>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96CCE"/>
    <w:rsid w:val="000C24AE"/>
    <w:rsid w:val="00141CAD"/>
    <w:rsid w:val="001F3B14"/>
    <w:rsid w:val="0023724B"/>
    <w:rsid w:val="00283084"/>
    <w:rsid w:val="002B0D48"/>
    <w:rsid w:val="0032179F"/>
    <w:rsid w:val="003373A3"/>
    <w:rsid w:val="003E2CD1"/>
    <w:rsid w:val="00440D6B"/>
    <w:rsid w:val="00442A12"/>
    <w:rsid w:val="00451BE5"/>
    <w:rsid w:val="004C4E37"/>
    <w:rsid w:val="0057150F"/>
    <w:rsid w:val="005E2D42"/>
    <w:rsid w:val="0064605B"/>
    <w:rsid w:val="006B20D8"/>
    <w:rsid w:val="00700873"/>
    <w:rsid w:val="007C0EFF"/>
    <w:rsid w:val="008179FD"/>
    <w:rsid w:val="008E6AAD"/>
    <w:rsid w:val="00904C03"/>
    <w:rsid w:val="00AE684F"/>
    <w:rsid w:val="00AF1575"/>
    <w:rsid w:val="00B8465D"/>
    <w:rsid w:val="00C85DEE"/>
    <w:rsid w:val="00CD2A52"/>
    <w:rsid w:val="00D63654"/>
    <w:rsid w:val="00DE37A3"/>
    <w:rsid w:val="00E0345E"/>
    <w:rsid w:val="00E46846"/>
    <w:rsid w:val="00E81E7D"/>
    <w:rsid w:val="00EA417F"/>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rsid w:val="00F63BA0"/>
    <w:rPr>
      <w:rFonts w:ascii="Calibri" w:eastAsia="Calibri" w:hAnsi="Calibri" w:cs="Calibri"/>
      <w:b/>
      <w:color w:val="365F91"/>
      <w:sz w:val="28"/>
      <w:lang w:eastAsia="fr-FR"/>
    </w:rPr>
  </w:style>
  <w:style w:type="character" w:styleId="Lienhypertexte">
    <w:name w:val="Hyperlink"/>
    <w:basedOn w:val="Policepardfaut"/>
    <w:uiPriority w:val="99"/>
    <w:unhideWhenUsed/>
    <w:rsid w:val="0090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2021-02-12T18:25:00Z</dcterms:created>
  <dcterms:modified xsi:type="dcterms:W3CDTF">2021-02-12T18:28:00Z</dcterms:modified>
</cp:coreProperties>
</file>