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CB5254" w:rsidP="004C4E37">
            <w:pPr>
              <w:spacing w:after="0" w:line="259" w:lineRule="auto"/>
              <w:ind w:left="0" w:firstLine="0"/>
              <w:jc w:val="left"/>
            </w:pPr>
            <w:r>
              <w:rPr>
                <w:b/>
                <w:sz w:val="24"/>
              </w:rPr>
              <w:t>Communication</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BB74A1" w:rsidP="006A1F67">
            <w:pPr>
              <w:spacing w:after="0" w:line="259" w:lineRule="auto"/>
              <w:ind w:left="0" w:firstLine="0"/>
              <w:jc w:val="center"/>
              <w:rPr>
                <w:b/>
                <w:bCs/>
                <w:color w:val="00B0F0"/>
                <w:sz w:val="24"/>
                <w:szCs w:val="28"/>
              </w:rPr>
            </w:pPr>
            <w:r w:rsidRPr="00BB74A1">
              <w:rPr>
                <w:b/>
                <w:color w:val="00B0F0"/>
                <w:sz w:val="28"/>
                <w:szCs w:val="32"/>
              </w:rPr>
              <w:t>S 5.4. Communication digitale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79421C" w:rsidRPr="0079421C" w:rsidRDefault="0079421C" w:rsidP="0079421C">
            <w:pPr>
              <w:numPr>
                <w:ilvl w:val="0"/>
                <w:numId w:val="36"/>
              </w:numPr>
              <w:spacing w:after="0" w:line="259" w:lineRule="auto"/>
              <w:ind w:firstLine="0"/>
              <w:jc w:val="left"/>
              <w:rPr>
                <w:sz w:val="28"/>
                <w:szCs w:val="28"/>
              </w:rPr>
            </w:pPr>
            <w:r w:rsidRPr="0079421C">
              <w:rPr>
                <w:sz w:val="24"/>
                <w:szCs w:val="28"/>
              </w:rPr>
              <w:t xml:space="preserve">Définition et enjeux </w:t>
            </w:r>
          </w:p>
          <w:p w:rsidR="0079421C" w:rsidRPr="0079421C" w:rsidRDefault="0079421C" w:rsidP="0079421C">
            <w:pPr>
              <w:numPr>
                <w:ilvl w:val="0"/>
                <w:numId w:val="36"/>
              </w:numPr>
              <w:spacing w:after="2" w:line="239" w:lineRule="auto"/>
              <w:ind w:firstLine="0"/>
              <w:jc w:val="left"/>
              <w:rPr>
                <w:sz w:val="28"/>
                <w:szCs w:val="28"/>
              </w:rPr>
            </w:pPr>
            <w:r w:rsidRPr="0079421C">
              <w:rPr>
                <w:sz w:val="24"/>
                <w:szCs w:val="28"/>
              </w:rPr>
              <w:t xml:space="preserve">Intranet, médias sociaux, applications mobiles </w:t>
            </w:r>
          </w:p>
          <w:p w:rsidR="00440D6B" w:rsidRPr="0079421C" w:rsidRDefault="0079421C" w:rsidP="0079421C">
            <w:pPr>
              <w:pStyle w:val="Paragraphedeliste"/>
              <w:numPr>
                <w:ilvl w:val="0"/>
                <w:numId w:val="36"/>
              </w:numPr>
              <w:spacing w:after="0" w:line="242" w:lineRule="auto"/>
              <w:jc w:val="left"/>
              <w:rPr>
                <w:b/>
                <w:bCs/>
                <w:sz w:val="24"/>
                <w:szCs w:val="28"/>
              </w:rPr>
            </w:pPr>
            <w:r w:rsidRPr="0079421C">
              <w:rPr>
                <w:sz w:val="24"/>
                <w:szCs w:val="28"/>
              </w:rPr>
              <w:t>Règles d’utilisation</w:t>
            </w:r>
          </w:p>
        </w:tc>
        <w:tc>
          <w:tcPr>
            <w:tcW w:w="6390" w:type="dxa"/>
            <w:tcBorders>
              <w:top w:val="single" w:sz="8" w:space="0" w:color="000000"/>
              <w:left w:val="single" w:sz="8" w:space="0" w:color="000000"/>
              <w:bottom w:val="single" w:sz="8" w:space="0" w:color="000000"/>
              <w:right w:val="single" w:sz="8" w:space="0" w:color="000000"/>
            </w:tcBorders>
            <w:vAlign w:val="center"/>
          </w:tcPr>
          <w:p w:rsidR="0079421C" w:rsidRPr="0079421C" w:rsidRDefault="0079421C" w:rsidP="0079421C">
            <w:pPr>
              <w:spacing w:after="0" w:line="241" w:lineRule="auto"/>
              <w:ind w:left="0" w:right="45" w:firstLine="0"/>
              <w:rPr>
                <w:sz w:val="28"/>
                <w:szCs w:val="28"/>
              </w:rPr>
            </w:pPr>
            <w:r w:rsidRPr="0079421C">
              <w:rPr>
                <w:sz w:val="24"/>
                <w:szCs w:val="28"/>
              </w:rPr>
              <w:t xml:space="preserve">La communication digitale désigne la possibilité de mener un dialogue/échange en utilisant des applications dédiées à cette activité et en passant par les applications de l’internet ou de la téléphonie mobile. Elle peut intégrer des images (photos et vidéos). La communication digitale définit, dans un écosystème numérique, la stratégie et les actions de communication à mener sur le web, les médias sociaux et les terminaux mobiles. </w:t>
            </w:r>
          </w:p>
          <w:p w:rsidR="0079421C" w:rsidRDefault="0079421C" w:rsidP="0079421C">
            <w:pPr>
              <w:spacing w:after="0" w:line="242" w:lineRule="auto"/>
              <w:ind w:left="0" w:right="51" w:firstLine="0"/>
              <w:rPr>
                <w:sz w:val="24"/>
                <w:szCs w:val="28"/>
              </w:rPr>
            </w:pPr>
            <w:r w:rsidRPr="0079421C">
              <w:rPr>
                <w:sz w:val="24"/>
                <w:szCs w:val="28"/>
              </w:rPr>
              <w:t xml:space="preserve">Son étude est menée de la même manière que la communication écrite opérationnelle. L’instantanéité et la facilité d’utilisation de certaines de ses applications n’exonèrent pas d’une production réfléchie.  </w:t>
            </w:r>
          </w:p>
          <w:p w:rsidR="0079421C" w:rsidRPr="0079421C" w:rsidRDefault="0079421C" w:rsidP="0079421C">
            <w:pPr>
              <w:spacing w:after="0" w:line="242" w:lineRule="auto"/>
              <w:ind w:left="0" w:right="51" w:firstLine="0"/>
              <w:rPr>
                <w:sz w:val="28"/>
                <w:szCs w:val="28"/>
              </w:rPr>
            </w:pPr>
            <w:bookmarkStart w:id="0" w:name="_GoBack"/>
            <w:bookmarkEnd w:id="0"/>
          </w:p>
          <w:p w:rsidR="0079421C" w:rsidRPr="0079421C" w:rsidRDefault="0079421C" w:rsidP="0079421C">
            <w:pPr>
              <w:spacing w:after="0" w:line="241" w:lineRule="auto"/>
              <w:ind w:left="0" w:right="46" w:firstLine="0"/>
              <w:rPr>
                <w:sz w:val="28"/>
                <w:szCs w:val="28"/>
              </w:rPr>
            </w:pPr>
            <w:r w:rsidRPr="0079421C">
              <w:rPr>
                <w:sz w:val="24"/>
                <w:szCs w:val="28"/>
              </w:rPr>
              <w:t xml:space="preserve">Les outils de la communication digitale (référencement, contenu collaboratif, blog, site web, </w:t>
            </w:r>
            <w:proofErr w:type="spellStart"/>
            <w:r w:rsidRPr="0079421C">
              <w:rPr>
                <w:sz w:val="24"/>
                <w:szCs w:val="28"/>
              </w:rPr>
              <w:t>newletters</w:t>
            </w:r>
            <w:proofErr w:type="spellEnd"/>
            <w:r w:rsidRPr="0079421C">
              <w:rPr>
                <w:sz w:val="24"/>
                <w:szCs w:val="28"/>
              </w:rPr>
              <w:t xml:space="preserve">, Facebook, Twitter, Instagram, Viadeo, LinkedIn, Pinterest… relation presse via des blogueurs liés au domaine d’activité, e-mailing etc.) sont variés et nombreux. L’exhaustivité n’est pas recherchée. </w:t>
            </w:r>
          </w:p>
          <w:p w:rsidR="0079421C" w:rsidRPr="0079421C" w:rsidRDefault="0079421C" w:rsidP="0079421C">
            <w:pPr>
              <w:spacing w:after="1" w:line="240" w:lineRule="auto"/>
              <w:ind w:left="0" w:right="52" w:firstLine="0"/>
              <w:rPr>
                <w:sz w:val="28"/>
                <w:szCs w:val="28"/>
              </w:rPr>
            </w:pPr>
            <w:r w:rsidRPr="0079421C">
              <w:rPr>
                <w:sz w:val="24"/>
                <w:szCs w:val="28"/>
              </w:rPr>
              <w:t xml:space="preserve">Le titulaire du diplôme peut être amené à utiliser un CMS (Content Management System ou Système de Gestion de Contenu SGC) afin de mettre à jour le site web de la PME. </w:t>
            </w:r>
          </w:p>
          <w:p w:rsidR="0079421C" w:rsidRDefault="0079421C" w:rsidP="0079421C">
            <w:pPr>
              <w:spacing w:after="0" w:line="242" w:lineRule="auto"/>
              <w:ind w:left="0" w:firstLine="0"/>
              <w:rPr>
                <w:sz w:val="24"/>
                <w:szCs w:val="28"/>
              </w:rPr>
            </w:pPr>
            <w:r w:rsidRPr="0079421C">
              <w:rPr>
                <w:sz w:val="24"/>
                <w:szCs w:val="28"/>
              </w:rPr>
              <w:t xml:space="preserve">On insistera sur la nécessité pour la PME de mettre en place des règles d’utilisation des médias sociaux internes et externes. </w:t>
            </w:r>
          </w:p>
          <w:p w:rsidR="0079421C" w:rsidRPr="0079421C" w:rsidRDefault="0079421C" w:rsidP="0079421C">
            <w:pPr>
              <w:spacing w:after="0" w:line="242" w:lineRule="auto"/>
              <w:ind w:left="0" w:firstLine="0"/>
              <w:rPr>
                <w:sz w:val="28"/>
                <w:szCs w:val="28"/>
              </w:rPr>
            </w:pPr>
          </w:p>
          <w:p w:rsidR="0079421C" w:rsidRPr="0079421C" w:rsidRDefault="0079421C" w:rsidP="0079421C">
            <w:pPr>
              <w:spacing w:after="2" w:line="239" w:lineRule="auto"/>
              <w:ind w:left="0" w:firstLine="0"/>
              <w:rPr>
                <w:sz w:val="28"/>
                <w:szCs w:val="28"/>
              </w:rPr>
            </w:pPr>
            <w:r w:rsidRPr="0079421C">
              <w:rPr>
                <w:sz w:val="24"/>
                <w:szCs w:val="28"/>
              </w:rPr>
              <w:t xml:space="preserve">La messagerie électronique constitue le principal média d’échange entre les collaborateurs ainsi qu’avec les acteurs externes. </w:t>
            </w:r>
          </w:p>
          <w:p w:rsidR="0079421C" w:rsidRPr="0079421C" w:rsidRDefault="0079421C" w:rsidP="0079421C">
            <w:pPr>
              <w:spacing w:after="0" w:line="232" w:lineRule="auto"/>
              <w:ind w:left="0" w:firstLine="0"/>
              <w:rPr>
                <w:sz w:val="28"/>
                <w:szCs w:val="28"/>
              </w:rPr>
            </w:pPr>
            <w:r w:rsidRPr="0079421C">
              <w:rPr>
                <w:sz w:val="24"/>
                <w:szCs w:val="28"/>
              </w:rPr>
              <w:t>La messagerie électronique obéit à des règles : la netiquette qu’il convient de connaître.</w:t>
            </w:r>
            <w:r w:rsidRPr="0079421C">
              <w:rPr>
                <w:sz w:val="28"/>
                <w:szCs w:val="28"/>
              </w:rPr>
              <w:t xml:space="preserve"> </w:t>
            </w:r>
          </w:p>
          <w:p w:rsidR="0079421C" w:rsidRDefault="0079421C" w:rsidP="0079421C">
            <w:pPr>
              <w:spacing w:after="0" w:line="259" w:lineRule="auto"/>
              <w:ind w:left="0" w:firstLine="0"/>
              <w:jc w:val="left"/>
              <w:rPr>
                <w:sz w:val="24"/>
                <w:szCs w:val="28"/>
              </w:rPr>
            </w:pPr>
            <w:r w:rsidRPr="0079421C">
              <w:rPr>
                <w:sz w:val="24"/>
                <w:szCs w:val="28"/>
              </w:rPr>
              <w:t>L'étudiant doit maîtriser les fonctionnalités d'un logiciel de messagerie permettant de mettre à disposition des utilisateurs une liste à jour des contacts, un accès permanent à ses messages, des moyens de traitement par</w:t>
            </w:r>
            <w:r w:rsidRPr="0079421C">
              <w:rPr>
                <w:sz w:val="24"/>
                <w:szCs w:val="28"/>
              </w:rPr>
              <w:t xml:space="preserve"> </w:t>
            </w:r>
            <w:r w:rsidRPr="0079421C">
              <w:rPr>
                <w:sz w:val="24"/>
                <w:szCs w:val="28"/>
              </w:rPr>
              <w:t xml:space="preserve">lot dans un environnement sécurisé.  </w:t>
            </w:r>
          </w:p>
          <w:p w:rsidR="0079421C" w:rsidRPr="0079421C" w:rsidRDefault="0079421C" w:rsidP="0079421C">
            <w:pPr>
              <w:spacing w:after="0" w:line="259" w:lineRule="auto"/>
              <w:ind w:left="0" w:firstLine="0"/>
              <w:jc w:val="left"/>
              <w:rPr>
                <w:sz w:val="28"/>
                <w:szCs w:val="28"/>
              </w:rPr>
            </w:pPr>
          </w:p>
          <w:p w:rsidR="0079421C" w:rsidRPr="0079421C" w:rsidRDefault="0079421C" w:rsidP="0079421C">
            <w:pPr>
              <w:spacing w:after="1" w:line="241" w:lineRule="auto"/>
              <w:ind w:left="0" w:right="86" w:firstLine="0"/>
              <w:rPr>
                <w:sz w:val="28"/>
                <w:szCs w:val="28"/>
              </w:rPr>
            </w:pPr>
            <w:r w:rsidRPr="0079421C">
              <w:rPr>
                <w:sz w:val="24"/>
                <w:szCs w:val="28"/>
              </w:rPr>
              <w:t xml:space="preserve">L’attention est portée sur la protection de la messagerie face aux risques de malveillance (mise en place d'un serveur e-mail avec solution anti-spam ou fonction anti-spam et filtrage du </w:t>
            </w:r>
            <w:r w:rsidRPr="0079421C">
              <w:rPr>
                <w:sz w:val="24"/>
                <w:szCs w:val="28"/>
              </w:rPr>
              <w:lastRenderedPageBreak/>
              <w:t xml:space="preserve">logiciel de messagerie) et une sensibilisation du personnel aux actes de malveillance liés à la messagerie électronique. </w:t>
            </w:r>
          </w:p>
          <w:p w:rsidR="0079421C" w:rsidRDefault="0079421C" w:rsidP="0079421C">
            <w:pPr>
              <w:spacing w:after="1" w:line="241" w:lineRule="auto"/>
              <w:ind w:left="0" w:right="84" w:firstLine="0"/>
              <w:rPr>
                <w:sz w:val="24"/>
                <w:szCs w:val="28"/>
              </w:rPr>
            </w:pPr>
            <w:r w:rsidRPr="0079421C">
              <w:rPr>
                <w:sz w:val="24"/>
                <w:szCs w:val="28"/>
              </w:rPr>
              <w:t xml:space="preserve">Les applications mobiles de collaboration seront également abordées. Elles donnent accès à des systèmes d’échanges synchronisés sous forme de notes, de flux de messages, de transfert de fichiers, de </w:t>
            </w:r>
            <w:proofErr w:type="spellStart"/>
            <w:r w:rsidRPr="0079421C">
              <w:rPr>
                <w:sz w:val="24"/>
                <w:szCs w:val="28"/>
              </w:rPr>
              <w:t>versioning</w:t>
            </w:r>
            <w:proofErr w:type="spellEnd"/>
            <w:r w:rsidRPr="0079421C">
              <w:rPr>
                <w:sz w:val="24"/>
                <w:szCs w:val="28"/>
              </w:rPr>
              <w:t xml:space="preserve">…Elles permettent à la fois de communiquer en face à face, en messagerie instantanée et aussi de partager en temps réel l’écran de son bureau ou un document avec un ou plusieurs contacts. Les solutions de réseau social d’entreprise permettent la mise à disposition de leurs services pour les mobiles (des outils de dialogue, un fil d’actualité et la possibilité de partager des documents à des groupes spécifiques).  </w:t>
            </w:r>
          </w:p>
          <w:p w:rsidR="0079421C" w:rsidRPr="0079421C" w:rsidRDefault="0079421C" w:rsidP="0079421C">
            <w:pPr>
              <w:spacing w:after="1" w:line="241" w:lineRule="auto"/>
              <w:ind w:left="0" w:right="84" w:firstLine="0"/>
              <w:rPr>
                <w:sz w:val="28"/>
                <w:szCs w:val="28"/>
              </w:rPr>
            </w:pPr>
          </w:p>
          <w:p w:rsidR="0079421C" w:rsidRDefault="0079421C" w:rsidP="0079421C">
            <w:pPr>
              <w:spacing w:after="0" w:line="241" w:lineRule="auto"/>
              <w:ind w:left="0" w:right="87" w:firstLine="0"/>
              <w:rPr>
                <w:sz w:val="24"/>
                <w:szCs w:val="28"/>
              </w:rPr>
            </w:pPr>
            <w:r w:rsidRPr="0079421C">
              <w:rPr>
                <w:sz w:val="24"/>
                <w:szCs w:val="28"/>
              </w:rPr>
              <w:t>Ces applications permettent un espace collaboratif pour les professionnels nomades (commerciaux, techniciens d'intervention, métiers du bâtiment) et les équipes virtuelles</w:t>
            </w:r>
            <w:r w:rsidRPr="0079421C">
              <w:rPr>
                <w:b/>
                <w:sz w:val="24"/>
                <w:szCs w:val="28"/>
              </w:rPr>
              <w:t>.</w:t>
            </w:r>
            <w:r w:rsidRPr="0079421C">
              <w:rPr>
                <w:sz w:val="24"/>
                <w:szCs w:val="28"/>
              </w:rPr>
              <w:t xml:space="preserve"> On pourra étudier par exemple une application mobile dédiée aux métiers du bâtiment. </w:t>
            </w:r>
          </w:p>
          <w:p w:rsidR="0079421C" w:rsidRPr="0079421C" w:rsidRDefault="0079421C" w:rsidP="0079421C">
            <w:pPr>
              <w:spacing w:after="0" w:line="241" w:lineRule="auto"/>
              <w:ind w:left="0" w:right="87" w:firstLine="0"/>
              <w:rPr>
                <w:sz w:val="28"/>
                <w:szCs w:val="28"/>
              </w:rPr>
            </w:pPr>
          </w:p>
          <w:p w:rsidR="0079421C" w:rsidRPr="0079421C" w:rsidRDefault="0079421C" w:rsidP="0079421C">
            <w:pPr>
              <w:spacing w:after="0" w:line="259" w:lineRule="auto"/>
              <w:ind w:left="0" w:firstLine="0"/>
              <w:jc w:val="left"/>
              <w:rPr>
                <w:sz w:val="28"/>
                <w:szCs w:val="28"/>
              </w:rPr>
            </w:pPr>
            <w:r w:rsidRPr="0079421C">
              <w:rPr>
                <w:sz w:val="24"/>
                <w:szCs w:val="28"/>
              </w:rPr>
              <w:t>Les réseaux sociaux d’entreprise permettent de passer d’un système de communication one-to-one (face à face) ou one-to-</w:t>
            </w:r>
            <w:proofErr w:type="spellStart"/>
            <w:r w:rsidRPr="0079421C">
              <w:rPr>
                <w:sz w:val="24"/>
                <w:szCs w:val="28"/>
              </w:rPr>
              <w:t>many</w:t>
            </w:r>
            <w:proofErr w:type="spellEnd"/>
            <w:r w:rsidRPr="0079421C">
              <w:rPr>
                <w:sz w:val="24"/>
                <w:szCs w:val="28"/>
              </w:rPr>
              <w:t xml:space="preserve"> (un à plusieurs) par e-mail ou par messagerie instantanée à un système </w:t>
            </w:r>
            <w:proofErr w:type="spellStart"/>
            <w:r w:rsidRPr="0079421C">
              <w:rPr>
                <w:sz w:val="24"/>
                <w:szCs w:val="28"/>
              </w:rPr>
              <w:t>many</w:t>
            </w:r>
            <w:proofErr w:type="spellEnd"/>
            <w:r w:rsidRPr="0079421C">
              <w:rPr>
                <w:sz w:val="24"/>
                <w:szCs w:val="28"/>
              </w:rPr>
              <w:t>-to-</w:t>
            </w:r>
            <w:proofErr w:type="spellStart"/>
            <w:r w:rsidRPr="0079421C">
              <w:rPr>
                <w:sz w:val="24"/>
                <w:szCs w:val="28"/>
              </w:rPr>
              <w:t>many</w:t>
            </w:r>
            <w:proofErr w:type="spellEnd"/>
            <w:r w:rsidRPr="0079421C">
              <w:rPr>
                <w:sz w:val="24"/>
                <w:szCs w:val="28"/>
              </w:rPr>
              <w:t xml:space="preserve"> (plusieurs à plusieurs), permettant aux groupes de s’organiser autour de sujets ou de projets spécifiques. L’analyse d’écrits professionnels permet une évaluation de l’écart entre l’objectif attendu et le résultat obtenu et les raisons de cet écart. </w:t>
            </w:r>
          </w:p>
          <w:p w:rsidR="00440D6B" w:rsidRDefault="0079421C" w:rsidP="0079421C">
            <w:pPr>
              <w:pStyle w:val="Paragraphedeliste"/>
              <w:spacing w:after="0" w:line="241" w:lineRule="auto"/>
              <w:ind w:left="0" w:right="46" w:firstLine="0"/>
              <w:rPr>
                <w:sz w:val="24"/>
                <w:szCs w:val="28"/>
              </w:rPr>
            </w:pPr>
            <w:hyperlink r:id="rId5" w:history="1">
              <w:r w:rsidRPr="00DC5764">
                <w:rPr>
                  <w:rStyle w:val="Lienhypertexte"/>
                  <w:sz w:val="24"/>
                  <w:szCs w:val="28"/>
                </w:rPr>
                <w:t>http://www.diag-numerique.fr/</w:t>
              </w:r>
            </w:hyperlink>
          </w:p>
          <w:p w:rsidR="0079421C" w:rsidRPr="007B5D32" w:rsidRDefault="0079421C" w:rsidP="0079421C">
            <w:pPr>
              <w:pStyle w:val="Paragraphedeliste"/>
              <w:spacing w:after="0" w:line="241" w:lineRule="auto"/>
              <w:ind w:left="0" w:right="46" w:firstLine="0"/>
              <w:rPr>
                <w:b/>
                <w:bCs/>
                <w:sz w:val="24"/>
                <w:szCs w:val="28"/>
              </w:rPr>
            </w:pP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4244C"/>
    <w:multiLevelType w:val="hybridMultilevel"/>
    <w:tmpl w:val="45F88FF8"/>
    <w:lvl w:ilvl="0" w:tplc="BB9CD7B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045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E36D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F9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20EE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C396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447A5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C4A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7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D58B1"/>
    <w:multiLevelType w:val="hybridMultilevel"/>
    <w:tmpl w:val="85103C34"/>
    <w:lvl w:ilvl="0" w:tplc="E10E5B9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8581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E8E6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45AB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CAA2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838C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AC76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2F5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64BCF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D32BA"/>
    <w:multiLevelType w:val="hybridMultilevel"/>
    <w:tmpl w:val="A16C13D0"/>
    <w:lvl w:ilvl="0" w:tplc="9A6A5AD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E6A2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A3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463C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C2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A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8AB1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4120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0C2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AC2FA4"/>
    <w:multiLevelType w:val="hybridMultilevel"/>
    <w:tmpl w:val="CCB859EE"/>
    <w:lvl w:ilvl="0" w:tplc="7E3AFDA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4621B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554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774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DD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38120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58BF6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F77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21B4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A427BC"/>
    <w:multiLevelType w:val="hybridMultilevel"/>
    <w:tmpl w:val="3BD8192A"/>
    <w:lvl w:ilvl="0" w:tplc="C82A99D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0240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B25A2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C41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A3F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3028E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7802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C8AF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CA0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D40E44"/>
    <w:multiLevelType w:val="hybridMultilevel"/>
    <w:tmpl w:val="EBC69492"/>
    <w:lvl w:ilvl="0" w:tplc="4AA89E4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64652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8CFCB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C429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EB3D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D44C5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A46C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EDB5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E5E8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0246BD"/>
    <w:multiLevelType w:val="hybridMultilevel"/>
    <w:tmpl w:val="C666BF1A"/>
    <w:lvl w:ilvl="0" w:tplc="E0C47ADE">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C443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46CA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43B6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324E8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A21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887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650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EB0B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586A27"/>
    <w:multiLevelType w:val="hybridMultilevel"/>
    <w:tmpl w:val="7572F38C"/>
    <w:lvl w:ilvl="0" w:tplc="05E4695A">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0A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4CAF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80E8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924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A3B2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EDE5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AA36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64CC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B62EFD"/>
    <w:multiLevelType w:val="hybridMultilevel"/>
    <w:tmpl w:val="C246AB96"/>
    <w:lvl w:ilvl="0" w:tplc="12B656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81C2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0E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C5D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74F2B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6B69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CAD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88E36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43F9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5B8045E"/>
    <w:multiLevelType w:val="hybridMultilevel"/>
    <w:tmpl w:val="685C1F2C"/>
    <w:lvl w:ilvl="0" w:tplc="637CEDB4">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6FC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682B2">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EDF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C27E9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196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94166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C2400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A5D4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0E6383"/>
    <w:multiLevelType w:val="hybridMultilevel"/>
    <w:tmpl w:val="20025232"/>
    <w:lvl w:ilvl="0" w:tplc="986CEFD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A316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818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AA5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80A6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0CCB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0CE8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8C5D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64B68E">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F941552"/>
    <w:multiLevelType w:val="hybridMultilevel"/>
    <w:tmpl w:val="BB6CBD5C"/>
    <w:lvl w:ilvl="0" w:tplc="0470BDE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4F80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A1ADE">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8E0D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46A0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4F57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36F36A">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C2C5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ED44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8E7BE0"/>
    <w:multiLevelType w:val="hybridMultilevel"/>
    <w:tmpl w:val="0EA4F44C"/>
    <w:lvl w:ilvl="0" w:tplc="A85672D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F4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A8A2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287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C498C">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0277D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FC72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9A53E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2C46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A6070BF"/>
    <w:multiLevelType w:val="hybridMultilevel"/>
    <w:tmpl w:val="61300784"/>
    <w:lvl w:ilvl="0" w:tplc="937C918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BA96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09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B64D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A9C2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81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C928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5A667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C2CE5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EB046BD"/>
    <w:multiLevelType w:val="hybridMultilevel"/>
    <w:tmpl w:val="01B252A2"/>
    <w:lvl w:ilvl="0" w:tplc="61627E66">
      <w:start w:val="1"/>
      <w:numFmt w:val="bullet"/>
      <w:lvlText w:val="-"/>
      <w:lvlJc w:val="left"/>
      <w:pPr>
        <w:ind w:left="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DADFF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BB6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CC40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38E9D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06C3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F7B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88D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0EAE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D85E1C"/>
    <w:multiLevelType w:val="hybridMultilevel"/>
    <w:tmpl w:val="6890E83C"/>
    <w:lvl w:ilvl="0" w:tplc="C71878C4">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8FB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7CCD7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CCFD8">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483B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CE16C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C85D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0330">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3A1D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4940D1"/>
    <w:multiLevelType w:val="hybridMultilevel"/>
    <w:tmpl w:val="8488F064"/>
    <w:lvl w:ilvl="0" w:tplc="CF466DB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A109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2CBA8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2C4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CC1E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6AD9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30EAC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88D08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AA0DB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302D73"/>
    <w:multiLevelType w:val="hybridMultilevel"/>
    <w:tmpl w:val="8BB044CE"/>
    <w:lvl w:ilvl="0" w:tplc="E22670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09F8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47C2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C925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6ECA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0A98C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A116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C302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8610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48568CD"/>
    <w:multiLevelType w:val="hybridMultilevel"/>
    <w:tmpl w:val="A8E83E74"/>
    <w:lvl w:ilvl="0" w:tplc="5FE423D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827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CA12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A2D0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3046B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2D88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A6E6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CC9D5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B33A">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A846C29"/>
    <w:multiLevelType w:val="hybridMultilevel"/>
    <w:tmpl w:val="5BC4F5CE"/>
    <w:lvl w:ilvl="0" w:tplc="A81E2F6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1C771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0B6D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64FCF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8948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C727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26048">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DA4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0A90C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CFE6189"/>
    <w:multiLevelType w:val="hybridMultilevel"/>
    <w:tmpl w:val="2D020F70"/>
    <w:lvl w:ilvl="0" w:tplc="AAD09908">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EE5F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8480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877C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4CEF6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14C446">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8EEE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448B2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AE8B8">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F960FA"/>
    <w:multiLevelType w:val="hybridMultilevel"/>
    <w:tmpl w:val="7DEE9B94"/>
    <w:lvl w:ilvl="0" w:tplc="87B0FD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90D98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E254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2B6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EE9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35B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076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A486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A5170">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15"/>
  </w:num>
  <w:num w:numId="3">
    <w:abstractNumId w:val="29"/>
  </w:num>
  <w:num w:numId="4">
    <w:abstractNumId w:val="8"/>
  </w:num>
  <w:num w:numId="5">
    <w:abstractNumId w:val="24"/>
  </w:num>
  <w:num w:numId="6">
    <w:abstractNumId w:val="0"/>
  </w:num>
  <w:num w:numId="7">
    <w:abstractNumId w:val="4"/>
  </w:num>
  <w:num w:numId="8">
    <w:abstractNumId w:val="17"/>
  </w:num>
  <w:num w:numId="9">
    <w:abstractNumId w:val="10"/>
  </w:num>
  <w:num w:numId="10">
    <w:abstractNumId w:val="18"/>
  </w:num>
  <w:num w:numId="11">
    <w:abstractNumId w:val="21"/>
  </w:num>
  <w:num w:numId="12">
    <w:abstractNumId w:val="26"/>
  </w:num>
  <w:num w:numId="13">
    <w:abstractNumId w:val="5"/>
  </w:num>
  <w:num w:numId="14">
    <w:abstractNumId w:val="19"/>
  </w:num>
  <w:num w:numId="15">
    <w:abstractNumId w:val="1"/>
  </w:num>
  <w:num w:numId="16">
    <w:abstractNumId w:val="34"/>
  </w:num>
  <w:num w:numId="17">
    <w:abstractNumId w:val="25"/>
  </w:num>
  <w:num w:numId="18">
    <w:abstractNumId w:val="23"/>
  </w:num>
  <w:num w:numId="19">
    <w:abstractNumId w:val="11"/>
  </w:num>
  <w:num w:numId="20">
    <w:abstractNumId w:val="6"/>
  </w:num>
  <w:num w:numId="21">
    <w:abstractNumId w:val="2"/>
  </w:num>
  <w:num w:numId="22">
    <w:abstractNumId w:val="32"/>
  </w:num>
  <w:num w:numId="23">
    <w:abstractNumId w:val="28"/>
  </w:num>
  <w:num w:numId="24">
    <w:abstractNumId w:val="9"/>
  </w:num>
  <w:num w:numId="25">
    <w:abstractNumId w:val="3"/>
  </w:num>
  <w:num w:numId="26">
    <w:abstractNumId w:val="7"/>
  </w:num>
  <w:num w:numId="27">
    <w:abstractNumId w:val="16"/>
  </w:num>
  <w:num w:numId="28">
    <w:abstractNumId w:val="31"/>
  </w:num>
  <w:num w:numId="29">
    <w:abstractNumId w:val="13"/>
  </w:num>
  <w:num w:numId="30">
    <w:abstractNumId w:val="12"/>
  </w:num>
  <w:num w:numId="31">
    <w:abstractNumId w:val="14"/>
  </w:num>
  <w:num w:numId="32">
    <w:abstractNumId w:val="27"/>
  </w:num>
  <w:num w:numId="33">
    <w:abstractNumId w:val="30"/>
  </w:num>
  <w:num w:numId="34">
    <w:abstractNumId w:val="22"/>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00037"/>
    <w:rsid w:val="00015060"/>
    <w:rsid w:val="00096CCE"/>
    <w:rsid w:val="000C24AE"/>
    <w:rsid w:val="000D685B"/>
    <w:rsid w:val="00141CAD"/>
    <w:rsid w:val="001F3B14"/>
    <w:rsid w:val="002106D5"/>
    <w:rsid w:val="0023724B"/>
    <w:rsid w:val="00283084"/>
    <w:rsid w:val="002B0D48"/>
    <w:rsid w:val="0032179F"/>
    <w:rsid w:val="003373A3"/>
    <w:rsid w:val="003C316E"/>
    <w:rsid w:val="003E2CD1"/>
    <w:rsid w:val="00440D6B"/>
    <w:rsid w:val="00442A12"/>
    <w:rsid w:val="00451BE5"/>
    <w:rsid w:val="004C4E37"/>
    <w:rsid w:val="0057150F"/>
    <w:rsid w:val="005E2D42"/>
    <w:rsid w:val="00645EEA"/>
    <w:rsid w:val="0064605B"/>
    <w:rsid w:val="00691B7B"/>
    <w:rsid w:val="006B20D8"/>
    <w:rsid w:val="00700873"/>
    <w:rsid w:val="0079421C"/>
    <w:rsid w:val="007B5D32"/>
    <w:rsid w:val="007C0EFF"/>
    <w:rsid w:val="008179FD"/>
    <w:rsid w:val="008E6AAD"/>
    <w:rsid w:val="00904C03"/>
    <w:rsid w:val="009772B1"/>
    <w:rsid w:val="00AE684F"/>
    <w:rsid w:val="00AF1575"/>
    <w:rsid w:val="00B8465D"/>
    <w:rsid w:val="00BB74A1"/>
    <w:rsid w:val="00C85DEE"/>
    <w:rsid w:val="00CB5254"/>
    <w:rsid w:val="00CD2A52"/>
    <w:rsid w:val="00D63654"/>
    <w:rsid w:val="00DE37A3"/>
    <w:rsid w:val="00E0345E"/>
    <w:rsid w:val="00E46846"/>
    <w:rsid w:val="00E81E7D"/>
    <w:rsid w:val="00EA417F"/>
    <w:rsid w:val="00F61AAE"/>
    <w:rsid w:val="00F63BA0"/>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paragraph" w:styleId="Titre2">
    <w:name w:val="heading 2"/>
    <w:next w:val="Normal"/>
    <w:link w:val="Titre2Car"/>
    <w:uiPriority w:val="9"/>
    <w:unhideWhenUsed/>
    <w:qFormat/>
    <w:rsid w:val="00F63BA0"/>
    <w:pPr>
      <w:keepNext/>
      <w:keepLines/>
      <w:spacing w:after="15" w:line="249" w:lineRule="auto"/>
      <w:ind w:left="10" w:hanging="10"/>
      <w:outlineLvl w:val="1"/>
    </w:pPr>
    <w:rPr>
      <w:rFonts w:ascii="Calibri" w:eastAsia="Calibri" w:hAnsi="Calibri" w:cs="Calibri"/>
      <w:b/>
      <w:color w:val="365F91"/>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 w:type="character" w:customStyle="1" w:styleId="Titre2Car">
    <w:name w:val="Titre 2 Car"/>
    <w:basedOn w:val="Policepardfaut"/>
    <w:link w:val="Titre2"/>
    <w:rsid w:val="00F63BA0"/>
    <w:rPr>
      <w:rFonts w:ascii="Calibri" w:eastAsia="Calibri" w:hAnsi="Calibri" w:cs="Calibri"/>
      <w:b/>
      <w:color w:val="365F91"/>
      <w:sz w:val="28"/>
      <w:lang w:eastAsia="fr-FR"/>
    </w:rPr>
  </w:style>
  <w:style w:type="character" w:styleId="Lienhypertexte">
    <w:name w:val="Hyperlink"/>
    <w:basedOn w:val="Policepardfaut"/>
    <w:uiPriority w:val="99"/>
    <w:unhideWhenUsed/>
    <w:rsid w:val="00904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g-numeriqu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2021-02-12T19:03:00Z</dcterms:created>
  <dcterms:modified xsi:type="dcterms:W3CDTF">2021-02-12T19:04:00Z</dcterms:modified>
</cp:coreProperties>
</file>