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775640" w:rsidRDefault="00775640" w:rsidP="00775640">
                            <w:pPr>
                              <w:jc w:val="center"/>
                              <w:rPr>
                                <w:rFonts w:cs="Arial"/>
                                <w:b/>
                                <w:bCs/>
                                <w:i/>
                                <w:iCs/>
                                <w:sz w:val="32"/>
                                <w:szCs w:val="32"/>
                              </w:rPr>
                            </w:pPr>
                            <w:r w:rsidRPr="00775640">
                              <w:rPr>
                                <w:rFonts w:cs="Arial"/>
                                <w:b/>
                                <w:bCs/>
                                <w:i/>
                                <w:iCs/>
                                <w:sz w:val="32"/>
                                <w:szCs w:val="32"/>
                              </w:rPr>
                              <w:t>1.3. Quels choix d’organisation de la production pour concilier flexibilité, qualité et maîtrise des coûts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775640" w:rsidRDefault="00775640" w:rsidP="00775640">
                      <w:pPr>
                        <w:jc w:val="center"/>
                        <w:rPr>
                          <w:rFonts w:cs="Arial"/>
                          <w:b/>
                          <w:bCs/>
                          <w:i/>
                          <w:iCs/>
                          <w:sz w:val="32"/>
                          <w:szCs w:val="32"/>
                        </w:rPr>
                      </w:pPr>
                      <w:r w:rsidRPr="00775640">
                        <w:rPr>
                          <w:rFonts w:cs="Arial"/>
                          <w:b/>
                          <w:bCs/>
                          <w:i/>
                          <w:iCs/>
                          <w:sz w:val="32"/>
                          <w:szCs w:val="32"/>
                        </w:rPr>
                        <w:t>1.3. Quels choix d’organisation de la production pour concilier flexibilité, qualité et maîtrise des coûts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775640" w:rsidRPr="00775640" w:rsidRDefault="00775640" w:rsidP="00775640">
      <w:pPr>
        <w:spacing w:after="110"/>
        <w:ind w:left="72" w:hanging="10"/>
        <w:jc w:val="both"/>
        <w:rPr>
          <w:b/>
          <w:bCs/>
          <w:color w:val="FF0000"/>
        </w:rPr>
      </w:pPr>
      <w:r w:rsidRPr="00775640">
        <w:rPr>
          <w:b/>
          <w:bCs/>
          <w:color w:val="FF0000"/>
        </w:rPr>
        <w:lastRenderedPageBreak/>
        <w:t>1)</w:t>
      </w:r>
      <w:r w:rsidRPr="00775640">
        <w:rPr>
          <w:rFonts w:eastAsia="Arial" w:cs="Arial"/>
          <w:b/>
          <w:bCs/>
          <w:color w:val="FF0000"/>
        </w:rPr>
        <w:t xml:space="preserve"> </w:t>
      </w:r>
      <w:r w:rsidRPr="00775640">
        <w:rPr>
          <w:b/>
          <w:bCs/>
          <w:color w:val="FF0000"/>
        </w:rPr>
        <w:t xml:space="preserve">Identifier les procédures de contrôle de qualité mise en place par l’entreprise </w:t>
      </w:r>
      <w:proofErr w:type="spellStart"/>
      <w:r w:rsidRPr="00775640">
        <w:rPr>
          <w:b/>
          <w:bCs/>
          <w:color w:val="FF0000"/>
        </w:rPr>
        <w:t>O’tera</w:t>
      </w:r>
      <w:proofErr w:type="spellEnd"/>
      <w:r w:rsidRPr="00775640">
        <w:rPr>
          <w:b/>
          <w:bCs/>
          <w:color w:val="FF0000"/>
        </w:rPr>
        <w:t xml:space="preserve">. </w:t>
      </w:r>
    </w:p>
    <w:p w:rsidR="00775640" w:rsidRDefault="00775640" w:rsidP="00775640">
      <w:pPr>
        <w:spacing w:after="123"/>
        <w:ind w:left="14"/>
        <w:jc w:val="both"/>
      </w:pPr>
      <w:r w:rsidRPr="00775640">
        <w:rPr>
          <w:b/>
          <w:bCs/>
          <w:i/>
        </w:rPr>
        <w:t>Intentions :</w:t>
      </w:r>
      <w:r>
        <w:rPr>
          <w:b/>
        </w:rPr>
        <w:t xml:space="preserve"> </w:t>
      </w:r>
      <w:r>
        <w:t>l’élève est capable</w:t>
      </w:r>
      <w:r>
        <w:rPr>
          <w:b/>
        </w:rPr>
        <w:t xml:space="preserve"> </w:t>
      </w:r>
      <w:r>
        <w:t xml:space="preserve">d’identifier et de justifier le mode de production choisi par une organisation.  </w:t>
      </w:r>
    </w:p>
    <w:p w:rsidR="00775640" w:rsidRDefault="00775640" w:rsidP="00775640">
      <w:pPr>
        <w:spacing w:after="4" w:line="250" w:lineRule="auto"/>
        <w:ind w:left="6" w:hanging="10"/>
        <w:jc w:val="both"/>
      </w:pPr>
      <w:r w:rsidRPr="00775640">
        <w:rPr>
          <w:b/>
          <w:bCs/>
          <w:i/>
        </w:rPr>
        <w:t>Notions</w:t>
      </w:r>
      <w:r w:rsidRPr="00775640">
        <w:rPr>
          <w:b/>
          <w:bCs/>
          <w:i/>
        </w:rPr>
        <w:t> :</w:t>
      </w:r>
      <w:r>
        <w:rPr>
          <w:i/>
        </w:rPr>
        <w:t xml:space="preserve"> </w:t>
      </w:r>
      <w:r>
        <w:t xml:space="preserve">Qualité, contrôle qualité, processus d’amélioration continue </w:t>
      </w:r>
    </w:p>
    <w:p w:rsidR="00775640" w:rsidRDefault="00775640" w:rsidP="00775640">
      <w:pPr>
        <w:jc w:val="both"/>
      </w:pPr>
      <w:r w:rsidRPr="00775640">
        <w:rPr>
          <w:b/>
          <w:bCs/>
          <w:i/>
          <w:iCs/>
        </w:rPr>
        <w:t>Repérage des informations</w:t>
      </w:r>
      <w:r w:rsidRPr="00775640">
        <w:rPr>
          <w:b/>
          <w:bCs/>
          <w:i/>
          <w:iCs/>
        </w:rPr>
        <w:t xml:space="preserve"> : </w:t>
      </w:r>
      <w:r>
        <w:t>Il existe deux procédures princip</w:t>
      </w:r>
      <w:r>
        <w:t>ales de contrôle qualité :</w:t>
      </w:r>
      <w:r>
        <w:t xml:space="preserve">  </w:t>
      </w:r>
    </w:p>
    <w:p w:rsidR="00775640" w:rsidRDefault="00775640" w:rsidP="00775640">
      <w:pPr>
        <w:numPr>
          <w:ilvl w:val="0"/>
          <w:numId w:val="12"/>
        </w:numPr>
        <w:spacing w:after="5" w:line="249" w:lineRule="auto"/>
        <w:ind w:hanging="360"/>
        <w:jc w:val="both"/>
      </w:pPr>
      <w:r>
        <w:t xml:space="preserve">Un contrôle quantitatif au moyen de tableaux de bord hebdomadaires, par rayon. En particulier, les pertes et les produits abîmés font l’objet d’un </w:t>
      </w:r>
      <w:proofErr w:type="spellStart"/>
      <w:r>
        <w:rPr>
          <w:i/>
        </w:rPr>
        <w:t>reporting</w:t>
      </w:r>
      <w:proofErr w:type="spellEnd"/>
      <w:r>
        <w:t xml:space="preserve"> (voir annexe 20). </w:t>
      </w:r>
    </w:p>
    <w:p w:rsidR="00775640" w:rsidRDefault="00775640" w:rsidP="00775640">
      <w:pPr>
        <w:numPr>
          <w:ilvl w:val="0"/>
          <w:numId w:val="12"/>
        </w:numPr>
        <w:spacing w:after="5" w:line="249" w:lineRule="auto"/>
        <w:ind w:hanging="360"/>
        <w:jc w:val="both"/>
      </w:pPr>
      <w:r>
        <w:t xml:space="preserve">Un contrôle qualitatif au moyen des retours client. Ce retour est ensuite relayé auprès des fournisseurs qui peuvent alors adapter leur produit. </w:t>
      </w:r>
    </w:p>
    <w:p w:rsidR="00775640" w:rsidRDefault="00775640" w:rsidP="00775640">
      <w:pPr>
        <w:spacing w:line="259" w:lineRule="auto"/>
        <w:jc w:val="both"/>
      </w:pPr>
      <w:r>
        <w:t xml:space="preserve"> </w:t>
      </w:r>
    </w:p>
    <w:p w:rsidR="00775640" w:rsidRDefault="00775640" w:rsidP="00775640">
      <w:pPr>
        <w:ind w:left="14"/>
        <w:jc w:val="both"/>
      </w:pPr>
      <w:proofErr w:type="spellStart"/>
      <w:r>
        <w:t>O’tera</w:t>
      </w:r>
      <w:proofErr w:type="spellEnd"/>
      <w:r>
        <w:t xml:space="preserve"> semble ainsi engagée dans un processus d’amélioration continue (</w:t>
      </w:r>
      <w:r>
        <w:rPr>
          <w:i/>
        </w:rPr>
        <w:t xml:space="preserve">plan / do / </w:t>
      </w:r>
      <w:proofErr w:type="spellStart"/>
      <w:r>
        <w:rPr>
          <w:i/>
        </w:rPr>
        <w:t>act</w:t>
      </w:r>
      <w:proofErr w:type="spellEnd"/>
      <w:r>
        <w:rPr>
          <w:i/>
        </w:rPr>
        <w:t xml:space="preserve"> / check</w:t>
      </w:r>
      <w:r>
        <w:t xml:space="preserve">). </w:t>
      </w:r>
    </w:p>
    <w:p w:rsidR="00775640" w:rsidRDefault="00775640" w:rsidP="00775640">
      <w:pPr>
        <w:spacing w:line="259" w:lineRule="auto"/>
        <w:jc w:val="both"/>
      </w:pPr>
      <w:r>
        <w:t xml:space="preserve"> </w:t>
      </w:r>
    </w:p>
    <w:p w:rsidR="00775640" w:rsidRPr="00775640" w:rsidRDefault="00775640" w:rsidP="00775640">
      <w:pPr>
        <w:spacing w:after="13" w:line="259" w:lineRule="auto"/>
        <w:jc w:val="both"/>
        <w:rPr>
          <w:b/>
          <w:bCs/>
          <w:color w:val="FF0000"/>
        </w:rPr>
      </w:pPr>
      <w:r>
        <w:t xml:space="preserve"> </w:t>
      </w:r>
    </w:p>
    <w:p w:rsidR="00775640" w:rsidRPr="00775640" w:rsidRDefault="00775640" w:rsidP="00775640">
      <w:pPr>
        <w:spacing w:after="110"/>
        <w:ind w:left="422" w:hanging="360"/>
        <w:jc w:val="both"/>
        <w:rPr>
          <w:b/>
          <w:bCs/>
          <w:color w:val="FF0000"/>
        </w:rPr>
      </w:pPr>
      <w:r w:rsidRPr="00775640">
        <w:rPr>
          <w:b/>
          <w:bCs/>
          <w:color w:val="FF0000"/>
        </w:rPr>
        <w:t>2)</w:t>
      </w:r>
      <w:r w:rsidRPr="00775640">
        <w:rPr>
          <w:rFonts w:eastAsia="Arial" w:cs="Arial"/>
          <w:b/>
          <w:bCs/>
          <w:color w:val="FF0000"/>
        </w:rPr>
        <w:t xml:space="preserve"> </w:t>
      </w:r>
      <w:r w:rsidRPr="00775640">
        <w:rPr>
          <w:b/>
          <w:bCs/>
          <w:color w:val="FF0000"/>
        </w:rPr>
        <w:t xml:space="preserve">Montrer comment l’entreprise intègre la gestion du cycle de vie des produits vendus, notamment au travers de sa politique de prix. </w:t>
      </w:r>
    </w:p>
    <w:p w:rsidR="00775640" w:rsidRDefault="00775640" w:rsidP="00775640">
      <w:pPr>
        <w:spacing w:line="331" w:lineRule="auto"/>
        <w:ind w:left="14" w:right="233"/>
        <w:jc w:val="both"/>
      </w:pPr>
      <w:r w:rsidRPr="00775640">
        <w:rPr>
          <w:b/>
          <w:bCs/>
          <w:i/>
        </w:rPr>
        <w:t>Intentions :</w:t>
      </w:r>
      <w:r>
        <w:rPr>
          <w:b/>
        </w:rPr>
        <w:t xml:space="preserve"> </w:t>
      </w:r>
      <w:r>
        <w:t>l’élève est capable</w:t>
      </w:r>
      <w:r>
        <w:rPr>
          <w:b/>
        </w:rPr>
        <w:t xml:space="preserve"> </w:t>
      </w:r>
      <w:r>
        <w:t>d’identifier et de justifier le mode de production choisi par une organisation</w:t>
      </w:r>
    </w:p>
    <w:p w:rsidR="00775640" w:rsidRDefault="00775640" w:rsidP="00775640">
      <w:pPr>
        <w:spacing w:line="331" w:lineRule="auto"/>
        <w:ind w:left="14" w:right="233"/>
        <w:jc w:val="both"/>
      </w:pPr>
      <w:r w:rsidRPr="00775640">
        <w:rPr>
          <w:b/>
          <w:bCs/>
          <w:i/>
        </w:rPr>
        <w:t>Notion :</w:t>
      </w:r>
      <w:r>
        <w:rPr>
          <w:i/>
        </w:rPr>
        <w:t xml:space="preserve"> </w:t>
      </w:r>
      <w:r>
        <w:t xml:space="preserve">gestion du cycle de vie des produits </w:t>
      </w:r>
    </w:p>
    <w:p w:rsidR="00775640" w:rsidRPr="00775640" w:rsidRDefault="00775640" w:rsidP="00775640">
      <w:pPr>
        <w:rPr>
          <w:b/>
          <w:bCs/>
          <w:i/>
          <w:iCs/>
        </w:rPr>
      </w:pPr>
      <w:r w:rsidRPr="00775640">
        <w:rPr>
          <w:b/>
          <w:bCs/>
          <w:i/>
          <w:iCs/>
        </w:rPr>
        <w:t xml:space="preserve">Repérage des informations </w:t>
      </w:r>
    </w:p>
    <w:p w:rsidR="00775640" w:rsidRDefault="00775640" w:rsidP="00775640">
      <w:pPr>
        <w:spacing w:after="112"/>
        <w:ind w:left="14"/>
      </w:pPr>
      <w:r>
        <w:t xml:space="preserve">Chez </w:t>
      </w:r>
      <w:proofErr w:type="spellStart"/>
      <w:r>
        <w:t>O’tera</w:t>
      </w:r>
      <w:proofErr w:type="spellEnd"/>
      <w:r>
        <w:t xml:space="preserve">, cette gestion est assurée par les responsables de rayon, qui sont alors chargés de l’approvisionnement de leur rayon. Une application dédiée à la gestion des stocks permet d’éviter les ruptures de stock. Les prix sont modifiés à la baisse en fonction de la proximité avec la date de péremption.  </w:t>
      </w:r>
    </w:p>
    <w:p w:rsidR="00775640" w:rsidRDefault="00775640" w:rsidP="00775640">
      <w:pPr>
        <w:ind w:left="14"/>
      </w:pPr>
      <w:r>
        <w:t xml:space="preserve">Lors d’un réapprovisionnement, les prix des anciens produits sont diminués : une étiquette indique alors les produits en promotion.  </w:t>
      </w:r>
    </w:p>
    <w:p w:rsidR="00775640" w:rsidRPr="00775640" w:rsidRDefault="00775640" w:rsidP="00775640">
      <w:pPr>
        <w:rPr>
          <w:b/>
          <w:bCs/>
          <w:i/>
          <w:iCs/>
        </w:rPr>
      </w:pPr>
      <w:r>
        <w:t xml:space="preserve"> </w:t>
      </w:r>
      <w:bookmarkStart w:id="0" w:name="_GoBack"/>
    </w:p>
    <w:p w:rsidR="00775640" w:rsidRPr="00775640" w:rsidRDefault="00775640" w:rsidP="00775640">
      <w:pPr>
        <w:rPr>
          <w:b/>
          <w:bCs/>
          <w:i/>
          <w:iCs/>
        </w:rPr>
      </w:pPr>
      <w:r w:rsidRPr="00775640">
        <w:rPr>
          <w:b/>
          <w:bCs/>
          <w:i/>
          <w:iCs/>
        </w:rPr>
        <w:t xml:space="preserve">Éléments d’argumentation </w:t>
      </w:r>
    </w:p>
    <w:bookmarkEnd w:id="0"/>
    <w:p w:rsidR="00775640" w:rsidRDefault="00775640" w:rsidP="00775640">
      <w:pPr>
        <w:ind w:left="14"/>
      </w:pPr>
      <w:r>
        <w:t xml:space="preserve">La gestion du cycle de vie des produits frais, en particulier des dates de péremption, est un facteur clé de succès du secteur. La baisse de marge est assumée par l’entreprise, pour éviter les invendus. Dans une logique de développement durable, les produits périmés sont davantage donnés que détruits, comme le prévoit d’ailleurs la loi </w:t>
      </w:r>
      <w:proofErr w:type="spellStart"/>
      <w:r>
        <w:t>Garot</w:t>
      </w:r>
      <w:proofErr w:type="spellEnd"/>
      <w:r>
        <w:t xml:space="preserve"> contre le gaspillage alimentaire (loi du 11 février 2016). Cependant la baisse des prix ne risque</w:t>
      </w:r>
      <w:r>
        <w:rPr>
          <w:rFonts w:ascii="Cambria Math" w:hAnsi="Cambria Math" w:cs="Cambria Math"/>
        </w:rPr>
        <w:t>‐</w:t>
      </w:r>
      <w:r>
        <w:t>t</w:t>
      </w:r>
      <w:r>
        <w:rPr>
          <w:rFonts w:ascii="Cambria Math" w:hAnsi="Cambria Math" w:cs="Cambria Math"/>
        </w:rPr>
        <w:t>‐</w:t>
      </w:r>
      <w:r>
        <w:t>elle pas d</w:t>
      </w:r>
      <w:r>
        <w:rPr>
          <w:rFonts w:cs="Arial"/>
        </w:rPr>
        <w:t>’</w:t>
      </w:r>
      <w:r>
        <w:t>affecter l</w:t>
      </w:r>
      <w:r>
        <w:rPr>
          <w:rFonts w:cs="Arial"/>
        </w:rPr>
        <w:t>’</w:t>
      </w:r>
      <w:r>
        <w:t xml:space="preserve">image et la marge de l’entreprise ? </w:t>
      </w:r>
    </w:p>
    <w:p w:rsidR="00775640" w:rsidRDefault="00775640" w:rsidP="00775640">
      <w:pPr>
        <w:spacing w:line="259" w:lineRule="auto"/>
      </w:pPr>
      <w:r>
        <w:t xml:space="preserve"> </w:t>
      </w:r>
    </w:p>
    <w:p w:rsidR="00874575" w:rsidRDefault="00874575">
      <w:pPr>
        <w:spacing w:after="160" w:line="259" w:lineRule="auto"/>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84" w:rsidRDefault="005C3E84" w:rsidP="00481B17">
      <w:r>
        <w:separator/>
      </w:r>
    </w:p>
  </w:endnote>
  <w:endnote w:type="continuationSeparator" w:id="0">
    <w:p w:rsidR="005C3E84" w:rsidRDefault="005C3E84"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75640">
      <w:rPr>
        <w:caps/>
        <w:noProof/>
        <w:color w:val="5B9BD5" w:themeColor="accent1"/>
      </w:rPr>
      <w:t>2</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84" w:rsidRDefault="005C3E84" w:rsidP="00481B17">
      <w:r>
        <w:separator/>
      </w:r>
    </w:p>
  </w:footnote>
  <w:footnote w:type="continuationSeparator" w:id="0">
    <w:p w:rsidR="005C3E84" w:rsidRDefault="005C3E84"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A243C"/>
    <w:rsid w:val="000E0F6B"/>
    <w:rsid w:val="001246C8"/>
    <w:rsid w:val="001802D5"/>
    <w:rsid w:val="002F1B9E"/>
    <w:rsid w:val="00407241"/>
    <w:rsid w:val="00433B0A"/>
    <w:rsid w:val="00442A12"/>
    <w:rsid w:val="00481B17"/>
    <w:rsid w:val="004933EF"/>
    <w:rsid w:val="004C1A33"/>
    <w:rsid w:val="00542A92"/>
    <w:rsid w:val="005C3E84"/>
    <w:rsid w:val="00664E13"/>
    <w:rsid w:val="006E27CC"/>
    <w:rsid w:val="007124CF"/>
    <w:rsid w:val="00775640"/>
    <w:rsid w:val="007857A4"/>
    <w:rsid w:val="00864407"/>
    <w:rsid w:val="00874575"/>
    <w:rsid w:val="008B2FAC"/>
    <w:rsid w:val="008E6459"/>
    <w:rsid w:val="00944B25"/>
    <w:rsid w:val="00997AFB"/>
    <w:rsid w:val="009A3A89"/>
    <w:rsid w:val="00A1397E"/>
    <w:rsid w:val="00A82A3B"/>
    <w:rsid w:val="00AE20E3"/>
    <w:rsid w:val="00B17CF4"/>
    <w:rsid w:val="00B75DD4"/>
    <w:rsid w:val="00C17662"/>
    <w:rsid w:val="00C22154"/>
    <w:rsid w:val="00C5320C"/>
    <w:rsid w:val="00CF5792"/>
    <w:rsid w:val="00D533B0"/>
    <w:rsid w:val="00DB6F28"/>
    <w:rsid w:val="00DF03C6"/>
    <w:rsid w:val="00DF496D"/>
    <w:rsid w:val="00DF62EF"/>
    <w:rsid w:val="00E605E3"/>
    <w:rsid w:val="00F226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2020-12-30T15:59:00Z</dcterms:created>
  <dcterms:modified xsi:type="dcterms:W3CDTF">2020-12-30T16:02:00Z</dcterms:modified>
</cp:coreProperties>
</file>