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BE" w:rsidRDefault="00E918BE" w:rsidP="00E918BE">
      <w:pPr>
        <w:jc w:val="center"/>
        <w:rPr>
          <w:b/>
          <w:sz w:val="24"/>
          <w:szCs w:val="24"/>
        </w:rPr>
      </w:pPr>
      <w:r>
        <w:rPr>
          <w:b/>
          <w:sz w:val="24"/>
          <w:szCs w:val="24"/>
        </w:rPr>
        <w:t>BTS COMPTABILITÉ ET GESTION</w:t>
      </w:r>
    </w:p>
    <w:p w:rsidR="00E918BE" w:rsidRPr="001A19A2" w:rsidRDefault="00E918BE" w:rsidP="00E918BE">
      <w:pPr>
        <w:jc w:val="center"/>
        <w:rPr>
          <w:b/>
          <w:sz w:val="24"/>
          <w:szCs w:val="24"/>
        </w:rPr>
      </w:pPr>
      <w:r>
        <w:rPr>
          <w:b/>
          <w:sz w:val="24"/>
          <w:szCs w:val="24"/>
        </w:rPr>
        <w:t>Session 2021</w:t>
      </w:r>
    </w:p>
    <w:p w:rsidR="00E918BE" w:rsidRDefault="00E918BE" w:rsidP="00E918BE">
      <w:pPr>
        <w:jc w:val="center"/>
        <w:rPr>
          <w:b/>
          <w:color w:val="0070C0"/>
          <w:sz w:val="24"/>
          <w:szCs w:val="24"/>
        </w:rPr>
      </w:pPr>
      <w:r>
        <w:rPr>
          <w:b/>
        </w:rPr>
        <w:t>É</w:t>
      </w:r>
      <w:r>
        <w:rPr>
          <w:b/>
          <w:sz w:val="24"/>
          <w:szCs w:val="24"/>
        </w:rPr>
        <w:t>preuve E6 – PARCOURS DE PROFESSIONNALISATION</w:t>
      </w:r>
    </w:p>
    <w:p w:rsidR="00E918BE" w:rsidRDefault="00E918BE" w:rsidP="00E918BE">
      <w:pPr>
        <w:jc w:val="center"/>
        <w:rPr>
          <w:b/>
          <w:color w:val="0070C0"/>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026"/>
        <w:gridCol w:w="3969"/>
        <w:gridCol w:w="1911"/>
        <w:gridCol w:w="2694"/>
      </w:tblGrid>
      <w:tr w:rsidR="00E918BE" w:rsidTr="00610D65">
        <w:trPr>
          <w:cantSplit/>
          <w:trHeight w:val="552"/>
        </w:trPr>
        <w:tc>
          <w:tcPr>
            <w:tcW w:w="2026" w:type="dxa"/>
            <w:tcBorders>
              <w:top w:val="single" w:sz="4" w:space="0" w:color="000000"/>
              <w:left w:val="single" w:sz="4" w:space="0" w:color="000000"/>
            </w:tcBorders>
            <w:shd w:val="clear" w:color="auto" w:fill="auto"/>
          </w:tcPr>
          <w:p w:rsidR="00E918BE" w:rsidRDefault="00E918BE" w:rsidP="00610D65">
            <w:pPr>
              <w:snapToGrid w:val="0"/>
              <w:rPr>
                <w:rFonts w:eastAsia="Calibri" w:cs="Times New Roman"/>
                <w:b/>
                <w:sz w:val="24"/>
              </w:rPr>
            </w:pPr>
            <w:r>
              <w:rPr>
                <w:rFonts w:eastAsia="Calibri" w:cs="Times New Roman"/>
                <w:b/>
                <w:sz w:val="24"/>
              </w:rPr>
              <w:t xml:space="preserve">CANDIDAT(E)     </w:t>
            </w:r>
          </w:p>
        </w:tc>
        <w:tc>
          <w:tcPr>
            <w:tcW w:w="8574" w:type="dxa"/>
            <w:gridSpan w:val="3"/>
            <w:tcBorders>
              <w:top w:val="single" w:sz="4" w:space="0" w:color="000000"/>
              <w:left w:val="single" w:sz="4" w:space="0" w:color="000000"/>
              <w:right w:val="single" w:sz="4" w:space="0" w:color="000000"/>
            </w:tcBorders>
            <w:shd w:val="clear" w:color="auto" w:fill="auto"/>
          </w:tcPr>
          <w:p w:rsidR="00E918BE" w:rsidRDefault="00E918BE" w:rsidP="00610D65">
            <w:pPr>
              <w:snapToGrid w:val="0"/>
              <w:rPr>
                <w:rFonts w:eastAsia="Calibri" w:cs="Times New Roman"/>
                <w:b/>
                <w:sz w:val="24"/>
              </w:rPr>
            </w:pPr>
            <w:r>
              <w:rPr>
                <w:rFonts w:eastAsia="Calibri" w:cs="Times New Roman"/>
                <w:b/>
                <w:sz w:val="24"/>
              </w:rPr>
              <w:t xml:space="preserve">Nom et prénom : </w:t>
            </w:r>
          </w:p>
          <w:p w:rsidR="00E918BE" w:rsidRDefault="00E918BE" w:rsidP="00610D65">
            <w:pPr>
              <w:snapToGrid w:val="0"/>
              <w:rPr>
                <w:rFonts w:eastAsia="Calibri" w:cs="Times New Roman"/>
                <w:b/>
                <w:sz w:val="24"/>
              </w:rPr>
            </w:pPr>
          </w:p>
          <w:p w:rsidR="00E918BE" w:rsidRDefault="00E918BE" w:rsidP="00610D65">
            <w:pPr>
              <w:snapToGrid w:val="0"/>
            </w:pPr>
            <w:r>
              <w:rPr>
                <w:rFonts w:eastAsia="Calibri" w:cs="Times New Roman"/>
                <w:b/>
                <w:sz w:val="24"/>
              </w:rPr>
              <w:t>Matricule</w:t>
            </w:r>
            <w:r>
              <w:rPr>
                <w:b/>
                <w:sz w:val="24"/>
              </w:rPr>
              <w:t xml:space="preserve"> </w:t>
            </w:r>
            <w:r>
              <w:rPr>
                <w:rFonts w:eastAsia="Calibri" w:cs="Times New Roman"/>
                <w:b/>
                <w:sz w:val="24"/>
              </w:rPr>
              <w:t>:</w:t>
            </w:r>
          </w:p>
        </w:tc>
      </w:tr>
      <w:tr w:rsidR="00E918BE" w:rsidTr="00610D65">
        <w:trPr>
          <w:cantSplit/>
          <w:trHeight w:val="152"/>
        </w:trPr>
        <w:tc>
          <w:tcPr>
            <w:tcW w:w="10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8BE" w:rsidRDefault="00E918BE" w:rsidP="00610D65">
            <w:pPr>
              <w:snapToGrid w:val="0"/>
              <w:jc w:val="center"/>
            </w:pPr>
            <w:r>
              <w:rPr>
                <w:rFonts w:eastAsia="Calibri" w:cs="Times New Roman"/>
                <w:b/>
                <w:sz w:val="24"/>
              </w:rPr>
              <w:t>ANALYSE DE L’ORGANISATION D’UN PROCESSUS</w:t>
            </w:r>
          </w:p>
        </w:tc>
      </w:tr>
      <w:tr w:rsidR="00E918BE" w:rsidTr="00610D65">
        <w:trPr>
          <w:cantSplit/>
          <w:trHeight w:val="152"/>
        </w:trPr>
        <w:tc>
          <w:tcPr>
            <w:tcW w:w="10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8BE" w:rsidRDefault="00E918BE" w:rsidP="00610D65">
            <w:pPr>
              <w:spacing w:before="120" w:after="120"/>
              <w:rPr>
                <w:b/>
                <w:sz w:val="24"/>
                <w:szCs w:val="24"/>
              </w:rPr>
            </w:pPr>
            <w:r>
              <w:rPr>
                <w:b/>
                <w:sz w:val="24"/>
                <w:szCs w:val="24"/>
              </w:rPr>
              <w:t>Activités support de l’écrit :</w:t>
            </w:r>
          </w:p>
          <w:p w:rsidR="00E918BE" w:rsidRDefault="00E918BE" w:rsidP="00610D65">
            <w:pPr>
              <w:spacing w:before="120" w:after="120"/>
              <w:rPr>
                <w:b/>
                <w:sz w:val="24"/>
                <w:szCs w:val="24"/>
              </w:rPr>
            </w:pPr>
          </w:p>
          <w:p w:rsidR="00E918BE" w:rsidRDefault="00E918BE" w:rsidP="00610D65">
            <w:pPr>
              <w:spacing w:before="120" w:after="120"/>
              <w:rPr>
                <w:b/>
                <w:sz w:val="24"/>
                <w:szCs w:val="24"/>
              </w:rPr>
            </w:pPr>
          </w:p>
        </w:tc>
      </w:tr>
      <w:tr w:rsidR="00E918BE" w:rsidTr="00610D65">
        <w:trPr>
          <w:cantSplit/>
          <w:trHeight w:val="152"/>
        </w:trPr>
        <w:tc>
          <w:tcPr>
            <w:tcW w:w="10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8BE" w:rsidRDefault="00E918BE" w:rsidP="00610D65">
            <w:pPr>
              <w:spacing w:before="120" w:after="120"/>
              <w:rPr>
                <w:b/>
                <w:sz w:val="24"/>
                <w:szCs w:val="24"/>
              </w:rPr>
            </w:pPr>
            <w:r>
              <w:rPr>
                <w:b/>
                <w:sz w:val="24"/>
                <w:szCs w:val="24"/>
              </w:rPr>
              <w:t>Questions posées :</w:t>
            </w:r>
          </w:p>
          <w:p w:rsidR="00E918BE" w:rsidRDefault="00E918BE" w:rsidP="00610D65">
            <w:pPr>
              <w:spacing w:before="120" w:after="120"/>
              <w:rPr>
                <w:b/>
                <w:sz w:val="24"/>
                <w:szCs w:val="24"/>
              </w:rPr>
            </w:pPr>
          </w:p>
          <w:p w:rsidR="00E918BE" w:rsidRDefault="00E918BE" w:rsidP="00610D65">
            <w:pPr>
              <w:spacing w:before="120" w:after="120"/>
              <w:rPr>
                <w:b/>
                <w:sz w:val="24"/>
                <w:szCs w:val="24"/>
              </w:rPr>
            </w:pPr>
          </w:p>
          <w:p w:rsidR="00E918BE" w:rsidRDefault="00E918BE" w:rsidP="00610D65">
            <w:pPr>
              <w:spacing w:before="120" w:after="120"/>
              <w:rPr>
                <w:b/>
                <w:sz w:val="24"/>
                <w:szCs w:val="24"/>
              </w:rPr>
            </w:pPr>
          </w:p>
          <w:p w:rsidR="00E918BE" w:rsidRDefault="00E918BE" w:rsidP="00610D65">
            <w:pPr>
              <w:spacing w:before="120" w:after="120"/>
              <w:rPr>
                <w:b/>
                <w:sz w:val="24"/>
                <w:szCs w:val="24"/>
              </w:rPr>
            </w:pPr>
          </w:p>
          <w:p w:rsidR="00E918BE" w:rsidRDefault="00E918BE" w:rsidP="00610D65">
            <w:pPr>
              <w:spacing w:before="120" w:after="120"/>
              <w:rPr>
                <w:b/>
                <w:sz w:val="24"/>
                <w:szCs w:val="24"/>
              </w:rPr>
            </w:pPr>
          </w:p>
        </w:tc>
      </w:tr>
      <w:tr w:rsidR="00E918BE" w:rsidTr="00610D65">
        <w:trPr>
          <w:cantSplit/>
          <w:trHeight w:val="346"/>
        </w:trPr>
        <w:tc>
          <w:tcPr>
            <w:tcW w:w="10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8BE" w:rsidRDefault="00E918BE" w:rsidP="00610D65">
            <w:pPr>
              <w:autoSpaceDE w:val="0"/>
              <w:jc w:val="center"/>
            </w:pPr>
            <w:r>
              <w:rPr>
                <w:b/>
                <w:sz w:val="24"/>
                <w:szCs w:val="24"/>
              </w:rPr>
              <w:t>ENTRETIEN D’EXPLICITATION SUR LE PARCOURS PROFESSIONNEL</w:t>
            </w:r>
          </w:p>
        </w:tc>
      </w:tr>
      <w:tr w:rsidR="00E918BE" w:rsidTr="00610D65">
        <w:trPr>
          <w:cantSplit/>
          <w:trHeight w:val="152"/>
        </w:trPr>
        <w:tc>
          <w:tcPr>
            <w:tcW w:w="10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8BE" w:rsidRDefault="00E918BE" w:rsidP="00610D65">
            <w:pPr>
              <w:spacing w:before="120" w:after="120"/>
              <w:rPr>
                <w:b/>
                <w:sz w:val="24"/>
                <w:szCs w:val="24"/>
              </w:rPr>
            </w:pPr>
            <w:r>
              <w:rPr>
                <w:b/>
                <w:sz w:val="24"/>
                <w:szCs w:val="24"/>
              </w:rPr>
              <w:t>Questions posées :</w:t>
            </w:r>
          </w:p>
          <w:p w:rsidR="00E918BE" w:rsidRDefault="00E918BE" w:rsidP="00610D65">
            <w:pPr>
              <w:spacing w:before="120" w:after="120"/>
              <w:rPr>
                <w:b/>
                <w:sz w:val="24"/>
                <w:szCs w:val="24"/>
              </w:rPr>
            </w:pPr>
          </w:p>
          <w:p w:rsidR="00E918BE" w:rsidRDefault="00E918BE" w:rsidP="00610D65">
            <w:pPr>
              <w:spacing w:before="120" w:after="120"/>
              <w:rPr>
                <w:b/>
                <w:sz w:val="24"/>
                <w:szCs w:val="24"/>
              </w:rPr>
            </w:pPr>
          </w:p>
          <w:p w:rsidR="00E918BE" w:rsidRDefault="00E918BE" w:rsidP="00610D65">
            <w:pPr>
              <w:spacing w:before="120" w:after="120"/>
              <w:rPr>
                <w:b/>
                <w:bCs/>
                <w:sz w:val="24"/>
                <w:szCs w:val="24"/>
                <w:u w:val="single"/>
              </w:rPr>
            </w:pPr>
          </w:p>
          <w:p w:rsidR="00E918BE" w:rsidRDefault="00E918BE" w:rsidP="00610D65">
            <w:pPr>
              <w:spacing w:before="120" w:after="120"/>
              <w:rPr>
                <w:b/>
                <w:bCs/>
                <w:sz w:val="24"/>
                <w:szCs w:val="24"/>
                <w:u w:val="single"/>
              </w:rPr>
            </w:pPr>
          </w:p>
        </w:tc>
      </w:tr>
      <w:tr w:rsidR="00E918BE" w:rsidTr="00610D65">
        <w:trPr>
          <w:cantSplit/>
          <w:trHeight w:val="152"/>
        </w:trPr>
        <w:tc>
          <w:tcPr>
            <w:tcW w:w="10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8BE" w:rsidRDefault="00E918BE" w:rsidP="00610D65">
            <w:pPr>
              <w:snapToGrid w:val="0"/>
              <w:spacing w:before="120" w:after="120"/>
              <w:rPr>
                <w:b/>
                <w:bCs/>
                <w:sz w:val="24"/>
                <w:szCs w:val="24"/>
                <w:u w:val="single"/>
                <w:lang w:val="fr-FR" w:eastAsia="fr-FR"/>
              </w:rPr>
            </w:pPr>
            <w:r>
              <w:rPr>
                <w:noProof/>
                <w:lang w:eastAsia="fr-FR"/>
              </w:rPr>
              <mc:AlternateContent>
                <mc:Choice Requires="wps">
                  <w:drawing>
                    <wp:anchor distT="0" distB="0" distL="114935" distR="114935" simplePos="0" relativeHeight="251660288" behindDoc="0" locked="0" layoutInCell="1" allowOverlap="1">
                      <wp:simplePos x="0" y="0"/>
                      <wp:positionH relativeFrom="margin">
                        <wp:posOffset>1113155</wp:posOffset>
                      </wp:positionH>
                      <wp:positionV relativeFrom="paragraph">
                        <wp:posOffset>70485</wp:posOffset>
                      </wp:positionV>
                      <wp:extent cx="1555750" cy="455295"/>
                      <wp:effectExtent l="10795" t="10795" r="508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5295"/>
                              </a:xfrm>
                              <a:prstGeom prst="rect">
                                <a:avLst/>
                              </a:prstGeom>
                              <a:solidFill>
                                <a:srgbClr val="FFFFFF"/>
                              </a:solidFill>
                              <a:ln w="9525">
                                <a:solidFill>
                                  <a:srgbClr val="000000"/>
                                </a:solidFill>
                                <a:miter lim="800000"/>
                                <a:headEnd/>
                                <a:tailEnd/>
                              </a:ln>
                            </wps:spPr>
                            <wps:txbx>
                              <w:txbxContent>
                                <w:p w:rsidR="00E918BE" w:rsidRDefault="00E918BE" w:rsidP="00E918BE">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7.65pt;margin-top:5.55pt;width:122.5pt;height:35.8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">
                      <v:textbox>
                        <w:txbxContent>
                          <w:p w:rsidR="00E918BE" w:rsidRDefault="00E918BE" w:rsidP="00E918BE">
                            <w:bookmarkStart w:id="1" w:name="_GoBack"/>
                            <w:bookmarkEnd w:id="1"/>
                          </w:p>
                        </w:txbxContent>
                      </v:textbox>
                      <w10:wrap anchorx="margin"/>
                    </v:shape>
                  </w:pict>
                </mc:Fallback>
              </mc:AlternateContent>
            </w:r>
          </w:p>
          <w:p w:rsidR="00E918BE" w:rsidRDefault="00E918BE" w:rsidP="00610D65">
            <w:pPr>
              <w:spacing w:before="120" w:after="120"/>
              <w:rPr>
                <w:b/>
                <w:sz w:val="24"/>
                <w:szCs w:val="24"/>
              </w:rPr>
            </w:pPr>
            <w:r>
              <w:rPr>
                <w:rFonts w:eastAsia="Arial"/>
                <w:b/>
                <w:sz w:val="24"/>
                <w:szCs w:val="24"/>
              </w:rPr>
              <w:t xml:space="preserve">      </w:t>
            </w:r>
            <w:r>
              <w:rPr>
                <w:b/>
                <w:sz w:val="24"/>
                <w:szCs w:val="24"/>
              </w:rPr>
              <w:t xml:space="preserve">NOTE /20 :  </w:t>
            </w:r>
          </w:p>
          <w:p w:rsidR="00E918BE" w:rsidRDefault="00E918BE" w:rsidP="00610D65">
            <w:pPr>
              <w:rPr>
                <w:b/>
                <w:sz w:val="24"/>
              </w:rPr>
            </w:pPr>
            <w:r>
              <w:rPr>
                <w:b/>
                <w:sz w:val="24"/>
                <w:szCs w:val="24"/>
              </w:rPr>
              <w:t xml:space="preserve">Appréciation globale et </w:t>
            </w:r>
            <w:r>
              <w:rPr>
                <w:b/>
                <w:sz w:val="24"/>
              </w:rPr>
              <w:t>Commentaires (justification de la note)</w:t>
            </w:r>
          </w:p>
          <w:p w:rsidR="00E918BE" w:rsidRDefault="00E918BE" w:rsidP="00610D65">
            <w:pPr>
              <w:spacing w:before="120" w:after="120"/>
              <w:ind w:left="324"/>
              <w:rPr>
                <w:b/>
                <w:sz w:val="24"/>
              </w:rPr>
            </w:pPr>
          </w:p>
          <w:p w:rsidR="00E918BE" w:rsidRDefault="00E918BE" w:rsidP="00610D65">
            <w:pPr>
              <w:spacing w:before="120" w:after="120"/>
              <w:ind w:left="324"/>
              <w:rPr>
                <w:b/>
                <w:sz w:val="24"/>
                <w:szCs w:val="24"/>
              </w:rPr>
            </w:pPr>
          </w:p>
          <w:p w:rsidR="00E918BE" w:rsidRDefault="00E918BE" w:rsidP="00610D65">
            <w:pPr>
              <w:spacing w:before="120" w:after="120"/>
              <w:rPr>
                <w:b/>
                <w:sz w:val="24"/>
                <w:szCs w:val="24"/>
              </w:rPr>
            </w:pPr>
          </w:p>
          <w:p w:rsidR="00E918BE" w:rsidRDefault="00E918BE" w:rsidP="00610D65">
            <w:pPr>
              <w:spacing w:before="120" w:after="120"/>
              <w:rPr>
                <w:b/>
                <w:sz w:val="24"/>
                <w:szCs w:val="24"/>
              </w:rPr>
            </w:pPr>
          </w:p>
        </w:tc>
      </w:tr>
      <w:tr w:rsidR="00E918BE" w:rsidTr="00610D65">
        <w:trPr>
          <w:cantSplit/>
          <w:trHeight w:val="152"/>
        </w:trPr>
        <w:tc>
          <w:tcPr>
            <w:tcW w:w="5995" w:type="dxa"/>
            <w:gridSpan w:val="2"/>
            <w:tcBorders>
              <w:top w:val="single" w:sz="4" w:space="0" w:color="000000"/>
              <w:left w:val="single" w:sz="4" w:space="0" w:color="000000"/>
              <w:bottom w:val="single" w:sz="4" w:space="0" w:color="000000"/>
            </w:tcBorders>
            <w:shd w:val="clear" w:color="auto" w:fill="auto"/>
            <w:vAlign w:val="center"/>
          </w:tcPr>
          <w:p w:rsidR="00E918BE" w:rsidRDefault="00E918BE" w:rsidP="00610D65">
            <w:pPr>
              <w:spacing w:before="60" w:after="120"/>
              <w:rPr>
                <w:b/>
                <w:bCs/>
                <w:sz w:val="24"/>
                <w:szCs w:val="24"/>
                <w:u w:val="single"/>
              </w:rPr>
            </w:pPr>
            <w:r>
              <w:rPr>
                <w:b/>
              </w:rPr>
              <w:t>MEMBRES DE LA COMMISSION :</w:t>
            </w:r>
          </w:p>
          <w:p w:rsidR="00E918BE" w:rsidRDefault="00E918BE" w:rsidP="00610D65">
            <w:pPr>
              <w:spacing w:before="120" w:after="120"/>
              <w:rPr>
                <w:b/>
                <w:bCs/>
                <w:sz w:val="24"/>
                <w:szCs w:val="24"/>
                <w:u w:val="single"/>
              </w:rPr>
            </w:pPr>
          </w:p>
          <w:p w:rsidR="00E918BE" w:rsidRDefault="00E918BE" w:rsidP="00610D65">
            <w:pPr>
              <w:spacing w:before="120" w:after="120"/>
              <w:rPr>
                <w:b/>
                <w:bCs/>
                <w:sz w:val="24"/>
                <w:szCs w:val="24"/>
                <w:u w:val="single"/>
              </w:rPr>
            </w:pPr>
          </w:p>
        </w:tc>
        <w:tc>
          <w:tcPr>
            <w:tcW w:w="1911" w:type="dxa"/>
            <w:tcBorders>
              <w:top w:val="single" w:sz="4" w:space="0" w:color="000000"/>
              <w:left w:val="single" w:sz="4" w:space="0" w:color="000000"/>
              <w:bottom w:val="single" w:sz="4" w:space="0" w:color="000000"/>
            </w:tcBorders>
            <w:shd w:val="clear" w:color="auto" w:fill="auto"/>
          </w:tcPr>
          <w:p w:rsidR="00E918BE" w:rsidRDefault="00E918BE" w:rsidP="00610D65">
            <w:pPr>
              <w:spacing w:before="120" w:after="120"/>
              <w:rPr>
                <w:b/>
              </w:rPr>
            </w:pPr>
            <w:r>
              <w:rPr>
                <w:b/>
                <w:bCs/>
                <w:sz w:val="24"/>
                <w:szCs w:val="24"/>
              </w:rPr>
              <w:t>Date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pacing w:before="120" w:after="120"/>
              <w:jc w:val="center"/>
            </w:pPr>
            <w:r>
              <w:rPr>
                <w:b/>
              </w:rPr>
              <w:t>Signatures</w:t>
            </w:r>
          </w:p>
        </w:tc>
      </w:tr>
    </w:tbl>
    <w:p w:rsidR="00E918BE" w:rsidRDefault="00E918BE" w:rsidP="00E918BE">
      <w:pPr>
        <w:rPr>
          <w:b/>
        </w:rPr>
      </w:pPr>
    </w:p>
    <w:p w:rsidR="00E918BE" w:rsidRDefault="00E918BE" w:rsidP="00E918BE">
      <w:pPr>
        <w:pageBreakBefore/>
        <w:rPr>
          <w:b/>
        </w:rPr>
      </w:pPr>
      <w:r>
        <w:rPr>
          <w:b/>
        </w:rPr>
        <w:lastRenderedPageBreak/>
        <w:t>CRITÈRES D’ÉVALUATION</w:t>
      </w:r>
    </w:p>
    <w:tbl>
      <w:tblPr>
        <w:tblW w:w="0" w:type="auto"/>
        <w:tblInd w:w="108" w:type="dxa"/>
        <w:tblLayout w:type="fixed"/>
        <w:tblLook w:val="0000" w:firstRow="0" w:lastRow="0" w:firstColumn="0" w:lastColumn="0" w:noHBand="0" w:noVBand="0"/>
      </w:tblPr>
      <w:tblGrid>
        <w:gridCol w:w="7319"/>
        <w:gridCol w:w="851"/>
        <w:gridCol w:w="708"/>
        <w:gridCol w:w="709"/>
        <w:gridCol w:w="972"/>
      </w:tblGrid>
      <w:tr w:rsidR="00E918BE" w:rsidTr="00610D65">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ind w:left="637" w:hanging="35"/>
              <w:rPr>
                <w:b/>
              </w:rPr>
            </w:pP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ind w:left="637" w:hanging="601"/>
              <w:jc w:val="center"/>
              <w:rPr>
                <w:b/>
                <w:sz w:val="24"/>
                <w:szCs w:val="24"/>
              </w:rPr>
            </w:pPr>
            <w:r>
              <w:rPr>
                <w:b/>
                <w:sz w:val="24"/>
                <w:szCs w:val="24"/>
              </w:rPr>
              <w:t>S</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ind w:left="637" w:hanging="601"/>
              <w:jc w:val="center"/>
            </w:pPr>
            <w:r>
              <w:rPr>
                <w:b/>
                <w:sz w:val="24"/>
                <w:szCs w:val="24"/>
              </w:rPr>
              <w:t>TS</w:t>
            </w:r>
          </w:p>
        </w:tc>
      </w:tr>
      <w:tr w:rsidR="00E918BE" w:rsidTr="00610D65">
        <w:trPr>
          <w:trHeight w:val="377"/>
        </w:trPr>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ind w:left="136" w:hanging="34"/>
              <w:rPr>
                <w:sz w:val="24"/>
                <w:szCs w:val="24"/>
              </w:rPr>
            </w:pPr>
            <w:r>
              <w:t>1 – Qualité de la présentation d’une situation organisationnelle</w:t>
            </w: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r>
      <w:tr w:rsidR="00E918BE" w:rsidTr="00610D65">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ind w:left="136" w:hanging="34"/>
              <w:rPr>
                <w:sz w:val="24"/>
                <w:szCs w:val="24"/>
              </w:rPr>
            </w:pPr>
            <w:r>
              <w:t>2 – Pertinence de l’analyse des caractéristiques et des choix opérés</w:t>
            </w: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r>
      <w:tr w:rsidR="00E918BE" w:rsidTr="00610D65">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ind w:left="136" w:hanging="34"/>
              <w:rPr>
                <w:sz w:val="24"/>
                <w:szCs w:val="24"/>
              </w:rPr>
            </w:pPr>
            <w:r>
              <w:t>3 a – Efficacité et pertinence du travail de veille dans les activités réalisées</w:t>
            </w: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ind w:left="637" w:hanging="601"/>
              <w:jc w:val="center"/>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napToGrid w:val="0"/>
              <w:spacing w:before="60"/>
              <w:ind w:left="637" w:hanging="601"/>
              <w:jc w:val="center"/>
              <w:rPr>
                <w:sz w:val="24"/>
                <w:szCs w:val="24"/>
              </w:rPr>
            </w:pPr>
          </w:p>
        </w:tc>
      </w:tr>
      <w:tr w:rsidR="00E918BE" w:rsidTr="00610D65">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ind w:left="136" w:hanging="34"/>
              <w:rPr>
                <w:sz w:val="24"/>
                <w:szCs w:val="24"/>
              </w:rPr>
            </w:pPr>
            <w:r>
              <w:t>3 b – Efficacité et pertinence du contrôle interne dans les activités réalisées</w:t>
            </w: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r>
      <w:tr w:rsidR="00E918BE" w:rsidTr="00610D65">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ind w:left="136" w:hanging="34"/>
              <w:rPr>
                <w:sz w:val="24"/>
                <w:szCs w:val="24"/>
              </w:rPr>
            </w:pPr>
            <w:r>
              <w:t>4 – Qualité de l’analyse réflexive sur son parcours de professionnalisation</w:t>
            </w: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r>
      <w:tr w:rsidR="00E918BE" w:rsidTr="00610D65">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ind w:left="136" w:hanging="34"/>
              <w:rPr>
                <w:sz w:val="24"/>
                <w:szCs w:val="24"/>
              </w:rPr>
            </w:pPr>
            <w:r>
              <w:t>5 – Capacité d’adaptation à des situations variées</w:t>
            </w: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r>
      <w:tr w:rsidR="00E918BE" w:rsidTr="00610D65">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ind w:left="136" w:hanging="34"/>
              <w:rPr>
                <w:sz w:val="24"/>
                <w:szCs w:val="24"/>
              </w:rPr>
            </w:pPr>
            <w:r>
              <w:t>6 – Qualité de l’argumentation</w:t>
            </w: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r>
      <w:tr w:rsidR="00E918BE" w:rsidTr="00610D65">
        <w:tc>
          <w:tcPr>
            <w:tcW w:w="7319" w:type="dxa"/>
            <w:tcBorders>
              <w:top w:val="single" w:sz="4" w:space="0" w:color="000000"/>
              <w:left w:val="single" w:sz="4" w:space="0" w:color="000000"/>
              <w:bottom w:val="single" w:sz="4" w:space="0" w:color="000000"/>
            </w:tcBorders>
            <w:shd w:val="clear" w:color="auto" w:fill="auto"/>
          </w:tcPr>
          <w:p w:rsidR="00E918BE" w:rsidRDefault="00E918BE" w:rsidP="00610D65">
            <w:pPr>
              <w:ind w:left="136" w:hanging="34"/>
              <w:rPr>
                <w:sz w:val="24"/>
                <w:szCs w:val="24"/>
              </w:rPr>
            </w:pPr>
            <w:r>
              <w:t>7 – Qualité de la communication écrite et orale</w:t>
            </w:r>
          </w:p>
        </w:tc>
        <w:tc>
          <w:tcPr>
            <w:tcW w:w="851"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sidP="00610D65">
            <w:pPr>
              <w:snapToGrid w:val="0"/>
              <w:spacing w:before="60" w:line="276" w:lineRule="auto"/>
              <w:ind w:left="637" w:hanging="601"/>
              <w:jc w:val="center"/>
              <w:rPr>
                <w:sz w:val="24"/>
                <w:szCs w:val="24"/>
              </w:rPr>
            </w:pPr>
          </w:p>
        </w:tc>
      </w:tr>
    </w:tbl>
    <w:p w:rsidR="00E918BE" w:rsidRDefault="00E918BE" w:rsidP="00E918BE">
      <w:r>
        <w:rPr>
          <w:b/>
          <w:noProof/>
          <w:lang w:eastAsia="fr-FR"/>
        </w:rPr>
        <w:lastRenderedPageBreak/>
        <mc:AlternateContent>
          <mc:Choice Requires="wps">
            <w:drawing>
              <wp:anchor distT="0" distB="0" distL="89535" distR="89535" simplePos="0" relativeHeight="251659264" behindDoc="0" locked="0" layoutInCell="1" allowOverlap="1">
                <wp:simplePos x="0" y="0"/>
                <wp:positionH relativeFrom="margin">
                  <wp:posOffset>-120015</wp:posOffset>
                </wp:positionH>
                <wp:positionV relativeFrom="paragraph">
                  <wp:posOffset>307975</wp:posOffset>
                </wp:positionV>
                <wp:extent cx="6576695" cy="7660005"/>
                <wp:effectExtent l="3175" t="3175" r="1905" b="444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7660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127"/>
                              <w:gridCol w:w="2268"/>
                              <w:gridCol w:w="2693"/>
                              <w:gridCol w:w="3281"/>
                            </w:tblGrid>
                            <w:tr w:rsidR="00E918BE">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b/>
                                      <w:i/>
                                      <w:sz w:val="24"/>
                                      <w:szCs w:val="18"/>
                                    </w:rPr>
                                    <w:t>DEGRÉ DE MAÎTRISE DES COMPÉTENCES</w:t>
                                  </w:r>
                                </w:p>
                              </w:tc>
                            </w:tr>
                            <w:tr w:rsidR="00E918BE">
                              <w:tc>
                                <w:tcPr>
                                  <w:tcW w:w="2127"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i/>
                                      <w:sz w:val="24"/>
                                      <w:szCs w:val="18"/>
                                    </w:rPr>
                                    <w:t>TS</w:t>
                                  </w:r>
                                </w:p>
                              </w:tc>
                            </w:tr>
                            <w:tr w:rsidR="00E918BE">
                              <w:tc>
                                <w:tcPr>
                                  <w:tcW w:w="2127"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Maîtrise</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i/>
                                      <w:sz w:val="24"/>
                                      <w:szCs w:val="18"/>
                                    </w:rPr>
                                    <w:t>Est expert</w:t>
                                  </w:r>
                                </w:p>
                              </w:tc>
                            </w:tr>
                            <w:tr w:rsidR="00E918BE">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1 – Qualité de la présentation d’une situation organisationnelle (analyse d’un </w:t>
                                  </w:r>
                                  <w:proofErr w:type="spellStart"/>
                                  <w:r>
                                    <w:rPr>
                                      <w:b/>
                                    </w:rPr>
                                    <w:t>processus+entretien</w:t>
                                  </w:r>
                                  <w:proofErr w:type="spellEnd"/>
                                  <w:r>
                                    <w:rPr>
                                      <w:b/>
                                    </w:rPr>
                                    <w:t>)</w:t>
                                  </w:r>
                                </w:p>
                              </w:tc>
                            </w:tr>
                            <w:tr w:rsidR="00E918BE">
                              <w:trPr>
                                <w:cantSplit/>
                                <w:trHeight w:val="313"/>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 xml:space="preserve">Présente une situation structurée mais sans analyse </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Analyse la situation organisationnelle en présentant les principales caractéristiques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 xml:space="preserve">Est capable de transférer l’analyse de l’organisation du processus </w:t>
                                  </w:r>
                                </w:p>
                              </w:tc>
                            </w:tr>
                            <w:tr w:rsidR="00E918BE">
                              <w:trPr>
                                <w:cantSplit/>
                                <w:trHeight w:val="313"/>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2 – Pertinence de l’analyse des caractéristiques et des choix opérés (analyse d’un </w:t>
                                  </w:r>
                                  <w:proofErr w:type="spellStart"/>
                                  <w:r>
                                    <w:rPr>
                                      <w:b/>
                                    </w:rPr>
                                    <w:t>processus+entretien</w:t>
                                  </w:r>
                                  <w:proofErr w:type="spellEnd"/>
                                  <w:r>
                                    <w:rPr>
                                      <w:b/>
                                    </w:rPr>
                                    <w:t>)</w:t>
                                  </w:r>
                                </w:p>
                              </w:tc>
                            </w:tr>
                            <w:tr w:rsidR="00E918BE">
                              <w:trPr>
                                <w:cantSplit/>
                                <w:trHeight w:val="569"/>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Appréhende l’ensemble du processus décrit, mais sans en comprendre réellement les enjeux associés</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Porte un degré d’analyse sur l’organisation du processus observé en identifiant les contraintes et les enjeux</w:t>
                                  </w:r>
                                </w:p>
                                <w:p w:rsidR="00E918BE" w:rsidRDefault="00E918BE">
                                  <w:pPr>
                                    <w:rPr>
                                      <w:sz w:val="18"/>
                                      <w:szCs w:val="18"/>
                                    </w:rPr>
                                  </w:pPr>
                                </w:p>
                                <w:p w:rsidR="00E918BE" w:rsidRDefault="00E918BE">
                                  <w:pPr>
                                    <w:rPr>
                                      <w:sz w:val="18"/>
                                      <w:szCs w:val="18"/>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Présente une analyse sur l’organisation du processus observé intégrant l’identification des contraintes, des enjeux et les limites des choix. Le candidat est en mesure de formuler des propositions argumentées d’amélioration face à des demandes</w:t>
                                  </w:r>
                                </w:p>
                              </w:tc>
                            </w:tr>
                            <w:tr w:rsidR="00E918BE">
                              <w:trPr>
                                <w:cantSplit/>
                                <w:trHeight w:val="327"/>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3 a – Efficacité et pertinence du travail de veille dans les activités réalisées (analyse d’un </w:t>
                                  </w:r>
                                  <w:proofErr w:type="spellStart"/>
                                  <w:r>
                                    <w:rPr>
                                      <w:b/>
                                    </w:rPr>
                                    <w:t>processus+entretien</w:t>
                                  </w:r>
                                  <w:proofErr w:type="spellEnd"/>
                                  <w:r>
                                    <w:rPr>
                                      <w:b/>
                                    </w:rPr>
                                    <w:t>)</w:t>
                                  </w:r>
                                </w:p>
                              </w:tc>
                            </w:tr>
                            <w:tr w:rsidR="00E918BE">
                              <w:trPr>
                                <w:cantSplit/>
                                <w:trHeight w:val="288"/>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N’a pas entrepris de démarche de veille</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Utilise l’information sans la questionner ni la contrôler</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Recherche des informations de manière autonome en contrôlant ses sources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Est capable de conduire sa recherche d’informations au domaine étudié  de manière structurée et de les utiliser  et d’argumenter ses choix.</w:t>
                                  </w:r>
                                </w:p>
                              </w:tc>
                            </w:tr>
                            <w:tr w:rsidR="00E918BE">
                              <w:trPr>
                                <w:cantSplit/>
                                <w:trHeight w:val="288"/>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3 b – Efficacité et pertinence du contrôle interne dans les activités réalisées (analyse d’un </w:t>
                                  </w:r>
                                  <w:proofErr w:type="spellStart"/>
                                  <w:r>
                                    <w:rPr>
                                      <w:b/>
                                    </w:rPr>
                                    <w:t>processus+entretien</w:t>
                                  </w:r>
                                  <w:proofErr w:type="spellEnd"/>
                                  <w:r>
                                    <w:rPr>
                                      <w:b/>
                                    </w:rPr>
                                    <w:t>)</w:t>
                                  </w:r>
                                </w:p>
                              </w:tc>
                            </w:tr>
                            <w:tr w:rsidR="00E918BE">
                              <w:trPr>
                                <w:cantSplit/>
                                <w:trHeight w:val="288"/>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Ne perçoit pas les enjeux du contrôle interne</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Explique les enjeux du contrôle interne, mais ne sais pas mettre en œuvre une démarche en ce sens</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Met en  œuvre des procédures de contrôle interne et sait les expliquer</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Propose des solutions pour améliorer des démarches de contrôle interne</w:t>
                                  </w:r>
                                </w:p>
                              </w:tc>
                            </w:tr>
                            <w:tr w:rsidR="00E918BE">
                              <w:trPr>
                                <w:cantSplit/>
                                <w:trHeight w:val="288"/>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4 – Qualité de l’analyse réflexive sur son parcours de professionnalisation (</w:t>
                                  </w:r>
                                  <w:proofErr w:type="spellStart"/>
                                  <w:r>
                                    <w:rPr>
                                      <w:b/>
                                    </w:rPr>
                                    <w:t>passeport+entretien</w:t>
                                  </w:r>
                                  <w:proofErr w:type="spellEnd"/>
                                  <w:r>
                                    <w:rPr>
                                      <w:b/>
                                    </w:rPr>
                                    <w:t>)</w:t>
                                  </w:r>
                                </w:p>
                              </w:tc>
                            </w:tr>
                            <w:tr w:rsidR="00E918BE">
                              <w:trPr>
                                <w:cantSplit/>
                                <w:trHeight w:val="262"/>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Ne présente pas d’analyse et ne prend pas de distance sur son parcours.</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Sait expliquer en quoi une situation professionnelle a permis la construction de compétences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 xml:space="preserve">Montre le lien entre situations professionnelles et développement de ses compétences </w:t>
                                  </w:r>
                                </w:p>
                              </w:tc>
                            </w:tr>
                            <w:tr w:rsidR="00E918BE">
                              <w:trPr>
                                <w:cantSplit/>
                                <w:trHeight w:val="262"/>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5 – Capacité d’adaptation à des situations variées (</w:t>
                                  </w:r>
                                  <w:proofErr w:type="spellStart"/>
                                  <w:r>
                                    <w:rPr>
                                      <w:b/>
                                    </w:rPr>
                                    <w:t>passeport+entretien</w:t>
                                  </w:r>
                                  <w:proofErr w:type="spellEnd"/>
                                  <w:r>
                                    <w:rPr>
                                      <w:b/>
                                    </w:rPr>
                                    <w:t>)</w:t>
                                  </w:r>
                                </w:p>
                              </w:tc>
                            </w:tr>
                            <w:tr w:rsidR="00E918BE">
                              <w:trPr>
                                <w:cantSplit/>
                                <w:trHeight w:val="262"/>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Ne comprend pas la demande</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Demande systématiquement des explications avant de réaliser</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 xml:space="preserve">Répond  avec efficacité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rPr>
                                      <w:sz w:val="18"/>
                                      <w:szCs w:val="18"/>
                                    </w:rPr>
                                  </w:pPr>
                                  <w:r>
                                    <w:rPr>
                                      <w:sz w:val="18"/>
                                      <w:szCs w:val="18"/>
                                    </w:rPr>
                                    <w:t xml:space="preserve">Répond avec </w:t>
                                  </w:r>
                                </w:p>
                                <w:p w:rsidR="00E918BE" w:rsidRDefault="00E918BE">
                                  <w:r>
                                    <w:rPr>
                                      <w:sz w:val="18"/>
                                      <w:szCs w:val="18"/>
                                    </w:rPr>
                                    <w:t>efficacité à la demande de manière autonome et si nécessaire en questionnant les aléas.</w:t>
                                  </w:r>
                                </w:p>
                              </w:tc>
                            </w:tr>
                            <w:tr w:rsidR="00E918BE">
                              <w:trPr>
                                <w:cantSplit/>
                                <w:trHeight w:val="262"/>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6 – Qualité de l’argumentation (analyse d’un </w:t>
                                  </w:r>
                                  <w:proofErr w:type="spellStart"/>
                                  <w:r>
                                    <w:rPr>
                                      <w:b/>
                                    </w:rPr>
                                    <w:t>processus+entretien</w:t>
                                  </w:r>
                                  <w:proofErr w:type="spellEnd"/>
                                  <w:r>
                                    <w:rPr>
                                      <w:b/>
                                    </w:rPr>
                                    <w:t>)</w:t>
                                  </w:r>
                                </w:p>
                              </w:tc>
                            </w:tr>
                            <w:tr w:rsidR="00E918BE">
                              <w:trPr>
                                <w:cantSplit/>
                                <w:trHeight w:val="548"/>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N’argumente pas.</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Limite son argumentation aux travaux prescrits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Sait mobiliser les arguments de référence (contraintes, ressources, techniques usuelles, méthodes, …)</w:t>
                                  </w:r>
                                </w:p>
                              </w:tc>
                            </w:tr>
                            <w:tr w:rsidR="00E918BE">
                              <w:trPr>
                                <w:cantSplit/>
                                <w:trHeight w:val="353"/>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7 – Qualité de la communication écrite et orale (analyse d’un </w:t>
                                  </w:r>
                                  <w:proofErr w:type="spellStart"/>
                                  <w:r>
                                    <w:rPr>
                                      <w:b/>
                                    </w:rPr>
                                    <w:t>processus+entretien</w:t>
                                  </w:r>
                                  <w:proofErr w:type="spellEnd"/>
                                  <w:r>
                                    <w:rPr>
                                      <w:b/>
                                    </w:rPr>
                                    <w:t>)</w:t>
                                  </w:r>
                                </w:p>
                              </w:tc>
                            </w:tr>
                            <w:tr w:rsidR="00E918BE">
                              <w:trPr>
                                <w:cantSplit/>
                                <w:trHeight w:val="266"/>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rFonts w:eastAsia="Arial"/>
                                    </w:rPr>
                                  </w:pPr>
                                  <w:r>
                                    <w:t>Ne communique pas</w:t>
                                  </w:r>
                                </w:p>
                              </w:tc>
                              <w:tc>
                                <w:tcPr>
                                  <w:tcW w:w="2268" w:type="dxa"/>
                                  <w:tcBorders>
                                    <w:top w:val="single" w:sz="4" w:space="0" w:color="000000"/>
                                    <w:left w:val="single" w:sz="4" w:space="0" w:color="000000"/>
                                    <w:bottom w:val="single" w:sz="4" w:space="0" w:color="000000"/>
                                  </w:tcBorders>
                                  <w:shd w:val="clear" w:color="auto" w:fill="auto"/>
                                </w:tcPr>
                                <w:p w:rsidR="00E918BE" w:rsidRDefault="00E918BE">
                                  <w:r>
                                    <w:rPr>
                                      <w:rFonts w:eastAsia="Arial"/>
                                    </w:rPr>
                                    <w:t xml:space="preserve"> </w:t>
                                  </w:r>
                                  <w:r>
                                    <w:t>Fait un compte rendu partiel</w:t>
                                  </w:r>
                                </w:p>
                              </w:tc>
                              <w:tc>
                                <w:tcPr>
                                  <w:tcW w:w="2693" w:type="dxa"/>
                                  <w:tcBorders>
                                    <w:top w:val="single" w:sz="4" w:space="0" w:color="000000"/>
                                    <w:left w:val="single" w:sz="4" w:space="0" w:color="000000"/>
                                    <w:bottom w:val="single" w:sz="4" w:space="0" w:color="000000"/>
                                  </w:tcBorders>
                                  <w:shd w:val="clear" w:color="auto" w:fill="auto"/>
                                </w:tcPr>
                                <w:p w:rsidR="00E918BE" w:rsidRDefault="00E918BE">
                                  <w:r>
                                    <w:t>Explique et fait comprendre</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t>Fait adhérer par des qualités de conviction</w:t>
                                  </w:r>
                                </w:p>
                              </w:tc>
                            </w:tr>
                          </w:tbl>
                          <w:p w:rsidR="00E918BE" w:rsidRDefault="00E918BE" w:rsidP="00E918BE">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9.45pt;margin-top:24.25pt;width:517.85pt;height:603.1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" stroked="f">
                <v:textbox inset="0,0,0,0">
                  <w:txbxContent>
                    <w:tbl>
                      <w:tblPr>
                        <w:tblW w:w="0" w:type="auto"/>
                        <w:tblInd w:w="108" w:type="dxa"/>
                        <w:tblLayout w:type="fixed"/>
                        <w:tblLook w:val="0000" w:firstRow="0" w:lastRow="0" w:firstColumn="0" w:lastColumn="0" w:noHBand="0" w:noVBand="0"/>
                      </w:tblPr>
                      <w:tblGrid>
                        <w:gridCol w:w="2127"/>
                        <w:gridCol w:w="2268"/>
                        <w:gridCol w:w="2693"/>
                        <w:gridCol w:w="3281"/>
                      </w:tblGrid>
                      <w:tr w:rsidR="00E918BE">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b/>
                                <w:i/>
                                <w:sz w:val="24"/>
                                <w:szCs w:val="18"/>
                              </w:rPr>
                              <w:t>DEGRÉ DE MAÎTRISE DES COMPÉTENCES</w:t>
                            </w:r>
                          </w:p>
                        </w:tc>
                      </w:tr>
                      <w:tr w:rsidR="00E918BE">
                        <w:tc>
                          <w:tcPr>
                            <w:tcW w:w="2127"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i/>
                                <w:sz w:val="24"/>
                                <w:szCs w:val="18"/>
                              </w:rPr>
                              <w:t>TS</w:t>
                            </w:r>
                          </w:p>
                        </w:tc>
                      </w:tr>
                      <w:tr w:rsidR="00E918BE">
                        <w:tc>
                          <w:tcPr>
                            <w:tcW w:w="2127"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jc w:val="center"/>
                              <w:rPr>
                                <w:b/>
                                <w:i/>
                                <w:sz w:val="24"/>
                                <w:szCs w:val="18"/>
                              </w:rPr>
                            </w:pPr>
                            <w:r>
                              <w:rPr>
                                <w:b/>
                                <w:i/>
                                <w:sz w:val="24"/>
                                <w:szCs w:val="18"/>
                              </w:rPr>
                              <w:t>Maîtrise</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i/>
                                <w:sz w:val="24"/>
                                <w:szCs w:val="18"/>
                              </w:rPr>
                              <w:t>Est expert</w:t>
                            </w:r>
                          </w:p>
                        </w:tc>
                      </w:tr>
                      <w:tr w:rsidR="00E918BE">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1 – Qualité de la présentation d’une situation organisationnelle (analyse d’un </w:t>
                            </w:r>
                            <w:proofErr w:type="spellStart"/>
                            <w:r>
                              <w:rPr>
                                <w:b/>
                              </w:rPr>
                              <w:t>processus+entretien</w:t>
                            </w:r>
                            <w:proofErr w:type="spellEnd"/>
                            <w:r>
                              <w:rPr>
                                <w:b/>
                              </w:rPr>
                              <w:t>)</w:t>
                            </w:r>
                          </w:p>
                        </w:tc>
                      </w:tr>
                      <w:tr w:rsidR="00E918BE">
                        <w:trPr>
                          <w:cantSplit/>
                          <w:trHeight w:val="313"/>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 xml:space="preserve">Présente une situation structurée mais sans analyse </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Analyse la situation organisationnelle en présentant les principales caractéristiques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 xml:space="preserve">Est capable de transférer l’analyse de l’organisation du processus </w:t>
                            </w:r>
                          </w:p>
                        </w:tc>
                      </w:tr>
                      <w:tr w:rsidR="00E918BE">
                        <w:trPr>
                          <w:cantSplit/>
                          <w:trHeight w:val="313"/>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2 – Pertinence de l’analyse des caractéristiques et des choix opérés (analyse d’un </w:t>
                            </w:r>
                            <w:proofErr w:type="spellStart"/>
                            <w:r>
                              <w:rPr>
                                <w:b/>
                              </w:rPr>
                              <w:t>processus+entretien</w:t>
                            </w:r>
                            <w:proofErr w:type="spellEnd"/>
                            <w:r>
                              <w:rPr>
                                <w:b/>
                              </w:rPr>
                              <w:t>)</w:t>
                            </w:r>
                          </w:p>
                        </w:tc>
                      </w:tr>
                      <w:tr w:rsidR="00E918BE">
                        <w:trPr>
                          <w:cantSplit/>
                          <w:trHeight w:val="569"/>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Appréhende l’ensemble du processus décrit, mais sans en comprendre réellement les enjeux associés</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Porte un degré d’analyse sur l’organisation du processus observé en identifiant les contraintes et les enjeux</w:t>
                            </w:r>
                          </w:p>
                          <w:p w:rsidR="00E918BE" w:rsidRDefault="00E918BE">
                            <w:pPr>
                              <w:rPr>
                                <w:sz w:val="18"/>
                                <w:szCs w:val="18"/>
                              </w:rPr>
                            </w:pPr>
                          </w:p>
                          <w:p w:rsidR="00E918BE" w:rsidRDefault="00E918BE">
                            <w:pPr>
                              <w:rPr>
                                <w:sz w:val="18"/>
                                <w:szCs w:val="18"/>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Présente une analyse sur l’organisation du processus observé intégrant l’identification des contraintes, des enjeux et les limites des choix. Le candidat est en mesure de formuler des propositions argumentées d’amélioration face à des demandes</w:t>
                            </w:r>
                          </w:p>
                        </w:tc>
                      </w:tr>
                      <w:tr w:rsidR="00E918BE">
                        <w:trPr>
                          <w:cantSplit/>
                          <w:trHeight w:val="327"/>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3 a – Efficacité et pertinence du travail de veille dans les activités réalisées (analyse d’un </w:t>
                            </w:r>
                            <w:proofErr w:type="spellStart"/>
                            <w:r>
                              <w:rPr>
                                <w:b/>
                              </w:rPr>
                              <w:t>processus+entretien</w:t>
                            </w:r>
                            <w:proofErr w:type="spellEnd"/>
                            <w:r>
                              <w:rPr>
                                <w:b/>
                              </w:rPr>
                              <w:t>)</w:t>
                            </w:r>
                          </w:p>
                        </w:tc>
                      </w:tr>
                      <w:tr w:rsidR="00E918BE">
                        <w:trPr>
                          <w:cantSplit/>
                          <w:trHeight w:val="288"/>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N’a pas entrepris de démarche de veille</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Utilise l’information sans la questionner ni la contrôler</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Recherche des informations de manière autonome en contrôlant ses sources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Est capable de conduire sa recherche d’informations au domaine étudié  de manière structurée et de les utiliser  et d’argumenter ses choix.</w:t>
                            </w:r>
                          </w:p>
                        </w:tc>
                      </w:tr>
                      <w:tr w:rsidR="00E918BE">
                        <w:trPr>
                          <w:cantSplit/>
                          <w:trHeight w:val="288"/>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3 b – Efficacité et pertinence du contrôle interne dans les activités réalisées (analyse d’un </w:t>
                            </w:r>
                            <w:proofErr w:type="spellStart"/>
                            <w:r>
                              <w:rPr>
                                <w:b/>
                              </w:rPr>
                              <w:t>processus+entretien</w:t>
                            </w:r>
                            <w:proofErr w:type="spellEnd"/>
                            <w:r>
                              <w:rPr>
                                <w:b/>
                              </w:rPr>
                              <w:t>)</w:t>
                            </w:r>
                          </w:p>
                        </w:tc>
                      </w:tr>
                      <w:tr w:rsidR="00E918BE">
                        <w:trPr>
                          <w:cantSplit/>
                          <w:trHeight w:val="288"/>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Ne perçoit pas les enjeux du contrôle interne</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Explique les enjeux du contrôle interne, mais ne sais pas mettre en œuvre une démarche en ce sens</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Met en  œuvre des procédures de contrôle interne et sait les expliquer</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Propose des solutions pour améliorer des démarches de contrôle interne</w:t>
                            </w:r>
                          </w:p>
                        </w:tc>
                      </w:tr>
                      <w:tr w:rsidR="00E918BE">
                        <w:trPr>
                          <w:cantSplit/>
                          <w:trHeight w:val="288"/>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4 – Qualité de l’analyse réflexive sur son parcours de professionnalisation (</w:t>
                            </w:r>
                            <w:proofErr w:type="spellStart"/>
                            <w:r>
                              <w:rPr>
                                <w:b/>
                              </w:rPr>
                              <w:t>passeport+entretien</w:t>
                            </w:r>
                            <w:proofErr w:type="spellEnd"/>
                            <w:r>
                              <w:rPr>
                                <w:b/>
                              </w:rPr>
                              <w:t>)</w:t>
                            </w:r>
                          </w:p>
                        </w:tc>
                      </w:tr>
                      <w:tr w:rsidR="00E918BE">
                        <w:trPr>
                          <w:cantSplit/>
                          <w:trHeight w:val="262"/>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Ne présente pas d’analyse et ne prend pas de distance sur son parcours.</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Sait expliquer en quoi une situation professionnelle a permis la construction de compétences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 xml:space="preserve">Montre le lien entre situations professionnelles et développement de ses compétences </w:t>
                            </w:r>
                          </w:p>
                        </w:tc>
                      </w:tr>
                      <w:tr w:rsidR="00E918BE">
                        <w:trPr>
                          <w:cantSplit/>
                          <w:trHeight w:val="262"/>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5 – Capacité d’adaptation à des situations variées (</w:t>
                            </w:r>
                            <w:proofErr w:type="spellStart"/>
                            <w:r>
                              <w:rPr>
                                <w:b/>
                              </w:rPr>
                              <w:t>passeport+entretien</w:t>
                            </w:r>
                            <w:proofErr w:type="spellEnd"/>
                            <w:r>
                              <w:rPr>
                                <w:b/>
                              </w:rPr>
                              <w:t>)</w:t>
                            </w:r>
                          </w:p>
                        </w:tc>
                      </w:tr>
                      <w:tr w:rsidR="00E918BE">
                        <w:trPr>
                          <w:cantSplit/>
                          <w:trHeight w:val="262"/>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Ne comprend pas la demande</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Demande systématiquement des explications avant de réaliser</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 xml:space="preserve">Répond  avec efficacité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rPr>
                                <w:sz w:val="18"/>
                                <w:szCs w:val="18"/>
                              </w:rPr>
                            </w:pPr>
                            <w:r>
                              <w:rPr>
                                <w:sz w:val="18"/>
                                <w:szCs w:val="18"/>
                              </w:rPr>
                              <w:t xml:space="preserve">Répond avec </w:t>
                            </w:r>
                          </w:p>
                          <w:p w:rsidR="00E918BE" w:rsidRDefault="00E918BE">
                            <w:r>
                              <w:rPr>
                                <w:sz w:val="18"/>
                                <w:szCs w:val="18"/>
                              </w:rPr>
                              <w:t>efficacité à la demande de manière autonome et si nécessaire en questionnant les aléas.</w:t>
                            </w:r>
                          </w:p>
                        </w:tc>
                      </w:tr>
                      <w:tr w:rsidR="00E918BE">
                        <w:trPr>
                          <w:cantSplit/>
                          <w:trHeight w:val="262"/>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6 – Qualité de l’argumentation (analyse d’un </w:t>
                            </w:r>
                            <w:proofErr w:type="spellStart"/>
                            <w:r>
                              <w:rPr>
                                <w:b/>
                              </w:rPr>
                              <w:t>processus+entretien</w:t>
                            </w:r>
                            <w:proofErr w:type="spellEnd"/>
                            <w:r>
                              <w:rPr>
                                <w:b/>
                              </w:rPr>
                              <w:t>)</w:t>
                            </w:r>
                          </w:p>
                        </w:tc>
                      </w:tr>
                      <w:tr w:rsidR="00E918BE">
                        <w:trPr>
                          <w:cantSplit/>
                          <w:trHeight w:val="548"/>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N’argumente pas.</w:t>
                            </w:r>
                          </w:p>
                        </w:tc>
                        <w:tc>
                          <w:tcPr>
                            <w:tcW w:w="2268"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tcBorders>
                            <w:shd w:val="clear" w:color="auto" w:fill="auto"/>
                          </w:tcPr>
                          <w:p w:rsidR="00E918BE" w:rsidRDefault="00E918BE">
                            <w:pPr>
                              <w:rPr>
                                <w:sz w:val="18"/>
                                <w:szCs w:val="18"/>
                              </w:rPr>
                            </w:pPr>
                            <w:r>
                              <w:rPr>
                                <w:sz w:val="18"/>
                                <w:szCs w:val="18"/>
                              </w:rPr>
                              <w:t>Limite son argumentation aux travaux prescrits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rPr>
                                <w:sz w:val="18"/>
                                <w:szCs w:val="18"/>
                              </w:rPr>
                              <w:t>Sait mobiliser les arguments de référence (contraintes, ressources, techniques usuelles, méthodes, …)</w:t>
                            </w:r>
                          </w:p>
                        </w:tc>
                      </w:tr>
                      <w:tr w:rsidR="00E918BE">
                        <w:trPr>
                          <w:cantSplit/>
                          <w:trHeight w:val="353"/>
                        </w:trPr>
                        <w:tc>
                          <w:tcPr>
                            <w:tcW w:w="10369" w:type="dxa"/>
                            <w:gridSpan w:val="4"/>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pPr>
                              <w:jc w:val="center"/>
                            </w:pPr>
                            <w:r>
                              <w:rPr>
                                <w:b/>
                              </w:rPr>
                              <w:t xml:space="preserve">7 – Qualité de la communication écrite et orale (analyse d’un </w:t>
                            </w:r>
                            <w:proofErr w:type="spellStart"/>
                            <w:r>
                              <w:rPr>
                                <w:b/>
                              </w:rPr>
                              <w:t>processus+entretien</w:t>
                            </w:r>
                            <w:proofErr w:type="spellEnd"/>
                            <w:r>
                              <w:rPr>
                                <w:b/>
                              </w:rPr>
                              <w:t>)</w:t>
                            </w:r>
                          </w:p>
                        </w:tc>
                      </w:tr>
                      <w:tr w:rsidR="00E918BE">
                        <w:trPr>
                          <w:cantSplit/>
                          <w:trHeight w:val="266"/>
                        </w:trPr>
                        <w:tc>
                          <w:tcPr>
                            <w:tcW w:w="2127" w:type="dxa"/>
                            <w:tcBorders>
                              <w:top w:val="single" w:sz="4" w:space="0" w:color="000000"/>
                              <w:left w:val="single" w:sz="4" w:space="0" w:color="000000"/>
                              <w:bottom w:val="single" w:sz="4" w:space="0" w:color="000000"/>
                            </w:tcBorders>
                            <w:shd w:val="clear" w:color="auto" w:fill="auto"/>
                          </w:tcPr>
                          <w:p w:rsidR="00E918BE" w:rsidRDefault="00E918BE">
                            <w:pPr>
                              <w:rPr>
                                <w:rFonts w:eastAsia="Arial"/>
                              </w:rPr>
                            </w:pPr>
                            <w:r>
                              <w:t>Ne communique pas</w:t>
                            </w:r>
                          </w:p>
                        </w:tc>
                        <w:tc>
                          <w:tcPr>
                            <w:tcW w:w="2268" w:type="dxa"/>
                            <w:tcBorders>
                              <w:top w:val="single" w:sz="4" w:space="0" w:color="000000"/>
                              <w:left w:val="single" w:sz="4" w:space="0" w:color="000000"/>
                              <w:bottom w:val="single" w:sz="4" w:space="0" w:color="000000"/>
                            </w:tcBorders>
                            <w:shd w:val="clear" w:color="auto" w:fill="auto"/>
                          </w:tcPr>
                          <w:p w:rsidR="00E918BE" w:rsidRDefault="00E918BE">
                            <w:r>
                              <w:rPr>
                                <w:rFonts w:eastAsia="Arial"/>
                              </w:rPr>
                              <w:t xml:space="preserve"> </w:t>
                            </w:r>
                            <w:r>
                              <w:t>Fait un compte rendu partiel</w:t>
                            </w:r>
                          </w:p>
                        </w:tc>
                        <w:tc>
                          <w:tcPr>
                            <w:tcW w:w="2693" w:type="dxa"/>
                            <w:tcBorders>
                              <w:top w:val="single" w:sz="4" w:space="0" w:color="000000"/>
                              <w:left w:val="single" w:sz="4" w:space="0" w:color="000000"/>
                              <w:bottom w:val="single" w:sz="4" w:space="0" w:color="000000"/>
                            </w:tcBorders>
                            <w:shd w:val="clear" w:color="auto" w:fill="auto"/>
                          </w:tcPr>
                          <w:p w:rsidR="00E918BE" w:rsidRDefault="00E918BE">
                            <w:r>
                              <w:t>Explique et fait comprendre</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E918BE" w:rsidRDefault="00E918BE">
                            <w:r>
                              <w:t>Fait adhérer par des qualités de conviction</w:t>
                            </w:r>
                          </w:p>
                        </w:tc>
                      </w:tr>
                    </w:tbl>
                    <w:p w:rsidR="00E918BE" w:rsidRDefault="00E918BE" w:rsidP="00E918BE">
                      <w:r>
                        <w:rPr>
                          <w:rFonts w:eastAsia="Arial"/>
                        </w:rPr>
                        <w:t xml:space="preserve"> </w:t>
                      </w:r>
                    </w:p>
                  </w:txbxContent>
                </v:textbox>
                <w10:wrap type="square" anchorx="margin"/>
              </v:shape>
            </w:pict>
          </mc:Fallback>
        </mc:AlternateContent>
      </w:r>
      <w:r>
        <w:rPr>
          <w:b/>
        </w:rPr>
        <w:t>ÉVALUATION DES COMPÉTENCES</w:t>
      </w:r>
    </w:p>
    <w:sectPr w:rsidR="00E918BE" w:rsidSect="00E91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E"/>
    <w:rsid w:val="00442A12"/>
    <w:rsid w:val="00E918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9B20E-290C-4237-9539-710AC312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BE"/>
    <w:pPr>
      <w:suppressAutoHyphens/>
      <w:spacing w:after="0" w:line="240" w:lineRule="auto"/>
    </w:pPr>
    <w:rPr>
      <w:rFonts w:ascii="Arial" w:eastAsia="Times New Roman" w:hAnsi="Arial" w:cs="Arial"/>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Words>
  <Characters>897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2021-02-08T16:21:00Z</dcterms:created>
  <dcterms:modified xsi:type="dcterms:W3CDTF">2021-02-08T16:22:00Z</dcterms:modified>
</cp:coreProperties>
</file>