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07" w:rsidRDefault="00BC03A8" w:rsidP="006D3EF6">
      <w:pPr>
        <w:pStyle w:val="Titre"/>
        <w:rPr>
          <w:rFonts w:cs="Arial"/>
        </w:rPr>
      </w:pPr>
      <w:bookmarkStart w:id="0" w:name="_Toc33187284"/>
      <w:r w:rsidRPr="006D3EF6">
        <w:rPr>
          <w:rFonts w:cs="Arial"/>
        </w:rPr>
        <w:t xml:space="preserve">Notice Thème 3 : </w:t>
      </w:r>
    </w:p>
    <w:p w:rsidR="00811044" w:rsidRPr="006D3EF6" w:rsidRDefault="00BC03A8" w:rsidP="006D3EF6">
      <w:pPr>
        <w:pStyle w:val="Titre"/>
        <w:rPr>
          <w:rFonts w:cs="Arial"/>
        </w:rPr>
      </w:pPr>
      <w:r w:rsidRPr="006D3EF6">
        <w:rPr>
          <w:rFonts w:cs="Arial"/>
        </w:rPr>
        <w:t>Comment les ménages décident-ils d’affecter leur revenu ?</w:t>
      </w:r>
      <w:bookmarkEnd w:id="0"/>
    </w:p>
    <w:p w:rsidR="00BC03A8" w:rsidRDefault="00BC03A8"/>
    <w:p w:rsidR="006D3EF6" w:rsidRDefault="006D3EF6"/>
    <w:p w:rsidR="006D3EF6" w:rsidRDefault="006D3EF6"/>
    <w:bookmarkStart w:id="1" w:name="_Hlk33187538" w:displacedByCustomXml="next"/>
    <w:sdt>
      <w:sdtPr>
        <w:rPr>
          <w:rFonts w:asciiTheme="minorHAnsi" w:eastAsiaTheme="minorHAnsi" w:hAnsiTheme="minorHAnsi" w:cstheme="minorBidi"/>
          <w:b w:val="0"/>
          <w:bCs w:val="0"/>
          <w:caps w:val="0"/>
          <w:color w:val="auto"/>
          <w:sz w:val="22"/>
          <w:szCs w:val="22"/>
          <w:lang w:eastAsia="en-US"/>
        </w:rPr>
        <w:id w:val="41564473"/>
        <w:docPartObj>
          <w:docPartGallery w:val="Table of Contents"/>
          <w:docPartUnique/>
        </w:docPartObj>
      </w:sdtPr>
      <w:sdtEndPr/>
      <w:sdtContent>
        <w:p w:rsidR="006D3EF6" w:rsidRDefault="006D3EF6" w:rsidP="006D3EF6">
          <w:pPr>
            <w:pStyle w:val="En-ttedetabledesmatires"/>
          </w:pPr>
          <w:r>
            <w:t>Sommaire</w:t>
          </w:r>
        </w:p>
        <w:p w:rsidR="006D3EF6" w:rsidRDefault="006D3EF6">
          <w:pPr>
            <w:pStyle w:val="TM1"/>
            <w:rPr>
              <w:rFonts w:asciiTheme="minorHAnsi" w:eastAsiaTheme="minorEastAsia" w:hAnsiTheme="minorHAnsi" w:cstheme="minorBidi"/>
              <w:b w:val="0"/>
              <w:bCs w:val="0"/>
              <w:sz w:val="22"/>
              <w:szCs w:val="22"/>
              <w:lang w:eastAsia="fr-FR"/>
            </w:rPr>
          </w:pPr>
          <w:r>
            <w:fldChar w:fldCharType="begin"/>
          </w:r>
          <w:r>
            <w:instrText xml:space="preserve"> TOC \o "1-3" \h \z \u </w:instrText>
          </w:r>
          <w:r>
            <w:fldChar w:fldCharType="separate"/>
          </w:r>
          <w:hyperlink w:anchor="_Toc33187284" w:history="1">
            <w:r w:rsidRPr="008D3A2B">
              <w:rPr>
                <w:rStyle w:val="Lienhypertexte"/>
                <w:rFonts w:cs="Arial"/>
              </w:rPr>
              <w:t>Notice Thème 3 : Comment les ménages décident-ils d’affecter leur revenu ?</w:t>
            </w:r>
            <w:r>
              <w:rPr>
                <w:webHidden/>
              </w:rPr>
              <w:tab/>
            </w:r>
            <w:r>
              <w:rPr>
                <w:webHidden/>
              </w:rPr>
              <w:fldChar w:fldCharType="begin"/>
            </w:r>
            <w:r>
              <w:rPr>
                <w:webHidden/>
              </w:rPr>
              <w:instrText xml:space="preserve"> PAGEREF _Toc33187284 \h </w:instrText>
            </w:r>
            <w:r>
              <w:rPr>
                <w:webHidden/>
              </w:rPr>
            </w:r>
            <w:r>
              <w:rPr>
                <w:webHidden/>
              </w:rPr>
              <w:fldChar w:fldCharType="separate"/>
            </w:r>
            <w:r w:rsidR="00F42A3F">
              <w:rPr>
                <w:webHidden/>
              </w:rPr>
              <w:t>1</w:t>
            </w:r>
            <w:r>
              <w:rPr>
                <w:webHidden/>
              </w:rPr>
              <w:fldChar w:fldCharType="end"/>
            </w:r>
          </w:hyperlink>
        </w:p>
        <w:p w:rsidR="006D3EF6" w:rsidRDefault="0074706C">
          <w:pPr>
            <w:pStyle w:val="TM1"/>
            <w:rPr>
              <w:rFonts w:asciiTheme="minorHAnsi" w:eastAsiaTheme="minorEastAsia" w:hAnsiTheme="minorHAnsi" w:cstheme="minorBidi"/>
              <w:b w:val="0"/>
              <w:bCs w:val="0"/>
              <w:sz w:val="22"/>
              <w:szCs w:val="22"/>
              <w:lang w:eastAsia="fr-FR"/>
            </w:rPr>
          </w:pPr>
          <w:hyperlink w:anchor="_Toc33187285" w:history="1">
            <w:r w:rsidR="006D3EF6" w:rsidRPr="008D3A2B">
              <w:rPr>
                <w:rStyle w:val="Lienhypertexte"/>
              </w:rPr>
              <w:t>L’arbitrage entre consommation et épargne</w:t>
            </w:r>
            <w:r w:rsidR="006D3EF6">
              <w:rPr>
                <w:webHidden/>
              </w:rPr>
              <w:tab/>
            </w:r>
            <w:r w:rsidR="006D3EF6">
              <w:rPr>
                <w:webHidden/>
              </w:rPr>
              <w:fldChar w:fldCharType="begin"/>
            </w:r>
            <w:r w:rsidR="006D3EF6">
              <w:rPr>
                <w:webHidden/>
              </w:rPr>
              <w:instrText xml:space="preserve"> PAGEREF _Toc33187285 \h </w:instrText>
            </w:r>
            <w:r w:rsidR="006D3EF6">
              <w:rPr>
                <w:webHidden/>
              </w:rPr>
            </w:r>
            <w:r w:rsidR="006D3EF6">
              <w:rPr>
                <w:webHidden/>
              </w:rPr>
              <w:fldChar w:fldCharType="separate"/>
            </w:r>
            <w:r w:rsidR="00F42A3F">
              <w:rPr>
                <w:webHidden/>
              </w:rPr>
              <w:t>2</w:t>
            </w:r>
            <w:r w:rsidR="006D3EF6">
              <w:rPr>
                <w:webHidden/>
              </w:rPr>
              <w:fldChar w:fldCharType="end"/>
            </w:r>
          </w:hyperlink>
        </w:p>
        <w:p w:rsidR="006D3EF6" w:rsidRDefault="0074706C">
          <w:pPr>
            <w:pStyle w:val="TM1"/>
            <w:rPr>
              <w:rFonts w:asciiTheme="minorHAnsi" w:eastAsiaTheme="minorEastAsia" w:hAnsiTheme="minorHAnsi" w:cstheme="minorBidi"/>
              <w:b w:val="0"/>
              <w:bCs w:val="0"/>
              <w:sz w:val="22"/>
              <w:szCs w:val="22"/>
              <w:lang w:eastAsia="fr-FR"/>
            </w:rPr>
          </w:pPr>
          <w:hyperlink w:anchor="_Toc33187286" w:history="1">
            <w:r w:rsidR="006D3EF6" w:rsidRPr="008D3A2B">
              <w:rPr>
                <w:rStyle w:val="Lienhypertexte"/>
              </w:rPr>
              <w:t>Le pouvoir d’achat des ménages</w:t>
            </w:r>
            <w:r w:rsidR="006D3EF6">
              <w:rPr>
                <w:webHidden/>
              </w:rPr>
              <w:tab/>
            </w:r>
            <w:r w:rsidR="006D3EF6">
              <w:rPr>
                <w:webHidden/>
              </w:rPr>
              <w:fldChar w:fldCharType="begin"/>
            </w:r>
            <w:r w:rsidR="006D3EF6">
              <w:rPr>
                <w:webHidden/>
              </w:rPr>
              <w:instrText xml:space="preserve"> PAGEREF _Toc33187286 \h </w:instrText>
            </w:r>
            <w:r w:rsidR="006D3EF6">
              <w:rPr>
                <w:webHidden/>
              </w:rPr>
            </w:r>
            <w:r w:rsidR="006D3EF6">
              <w:rPr>
                <w:webHidden/>
              </w:rPr>
              <w:fldChar w:fldCharType="separate"/>
            </w:r>
            <w:r w:rsidR="00F42A3F">
              <w:rPr>
                <w:webHidden/>
              </w:rPr>
              <w:t>6</w:t>
            </w:r>
            <w:r w:rsidR="006D3EF6">
              <w:rPr>
                <w:webHidden/>
              </w:rPr>
              <w:fldChar w:fldCharType="end"/>
            </w:r>
          </w:hyperlink>
        </w:p>
        <w:p w:rsidR="006D3EF6" w:rsidRDefault="0074706C">
          <w:pPr>
            <w:pStyle w:val="TM1"/>
            <w:rPr>
              <w:rFonts w:asciiTheme="minorHAnsi" w:eastAsiaTheme="minorEastAsia" w:hAnsiTheme="minorHAnsi" w:cstheme="minorBidi"/>
              <w:b w:val="0"/>
              <w:bCs w:val="0"/>
              <w:sz w:val="22"/>
              <w:szCs w:val="22"/>
              <w:lang w:eastAsia="fr-FR"/>
            </w:rPr>
          </w:pPr>
          <w:hyperlink w:anchor="_Toc33187287" w:history="1">
            <w:r w:rsidR="006D3EF6" w:rsidRPr="008D3A2B">
              <w:rPr>
                <w:rStyle w:val="Lienhypertexte"/>
              </w:rPr>
              <w:t>La structure de consommation des ménages</w:t>
            </w:r>
            <w:r w:rsidR="006D3EF6">
              <w:rPr>
                <w:webHidden/>
              </w:rPr>
              <w:tab/>
            </w:r>
            <w:r w:rsidR="006D3EF6">
              <w:rPr>
                <w:webHidden/>
              </w:rPr>
              <w:fldChar w:fldCharType="begin"/>
            </w:r>
            <w:r w:rsidR="006D3EF6">
              <w:rPr>
                <w:webHidden/>
              </w:rPr>
              <w:instrText xml:space="preserve"> PAGEREF _Toc33187287 \h </w:instrText>
            </w:r>
            <w:r w:rsidR="006D3EF6">
              <w:rPr>
                <w:webHidden/>
              </w:rPr>
            </w:r>
            <w:r w:rsidR="006D3EF6">
              <w:rPr>
                <w:webHidden/>
              </w:rPr>
              <w:fldChar w:fldCharType="separate"/>
            </w:r>
            <w:r w:rsidR="00F42A3F">
              <w:rPr>
                <w:webHidden/>
              </w:rPr>
              <w:t>9</w:t>
            </w:r>
            <w:r w:rsidR="006D3EF6">
              <w:rPr>
                <w:webHidden/>
              </w:rPr>
              <w:fldChar w:fldCharType="end"/>
            </w:r>
          </w:hyperlink>
        </w:p>
        <w:p w:rsidR="006D3EF6" w:rsidRDefault="006D3EF6" w:rsidP="006D3EF6">
          <w:r>
            <w:rPr>
              <w:b/>
              <w:bCs/>
            </w:rPr>
            <w:fldChar w:fldCharType="end"/>
          </w:r>
        </w:p>
      </w:sdtContent>
    </w:sdt>
    <w:p w:rsidR="006D3EF6" w:rsidRPr="00B81E85" w:rsidRDefault="006D3EF6" w:rsidP="006D3EF6">
      <w:pPr>
        <w:rPr>
          <w:rFonts w:ascii="Arial" w:hAnsi="Arial" w:cs="Arial"/>
          <w:lang w:eastAsia="fr-FR"/>
        </w:rPr>
      </w:pPr>
    </w:p>
    <w:p w:rsidR="006D3EF6" w:rsidRPr="00B81E85" w:rsidRDefault="006D3EF6" w:rsidP="006D3EF6">
      <w:pPr>
        <w:rPr>
          <w:rFonts w:ascii="Arial" w:hAnsi="Arial" w:cs="Arial"/>
          <w:lang w:eastAsia="fr-FR"/>
        </w:rPr>
      </w:pPr>
    </w:p>
    <w:p w:rsidR="006D3EF6" w:rsidRPr="00B81E85" w:rsidRDefault="006D3EF6" w:rsidP="006D3EF6">
      <w:pPr>
        <w:pStyle w:val="Encadrcontextetitre"/>
        <w:rPr>
          <w:rFonts w:cs="Arial"/>
        </w:rPr>
      </w:pPr>
      <w:r w:rsidRPr="00B81E85">
        <w:rPr>
          <w:rFonts w:cs="Arial"/>
        </w:rPr>
        <w:t>Mots-clés</w:t>
      </w:r>
    </w:p>
    <w:p w:rsidR="006D3EF6" w:rsidRDefault="006D3EF6" w:rsidP="006D3EF6">
      <w:pPr>
        <w:pStyle w:val="Encadrcontextetitre"/>
        <w:rPr>
          <w:rFonts w:cs="Arial"/>
          <w:color w:val="auto"/>
        </w:rPr>
      </w:pPr>
    </w:p>
    <w:p w:rsidR="006D3EF6" w:rsidRPr="00B81E85" w:rsidRDefault="006D3EF6" w:rsidP="006D3EF6">
      <w:pPr>
        <w:pStyle w:val="Encadrcontextetitre"/>
        <w:rPr>
          <w:rFonts w:cs="Arial"/>
          <w:color w:val="auto"/>
        </w:rPr>
      </w:pPr>
      <w:r>
        <w:rPr>
          <w:rFonts w:cs="Arial"/>
          <w:color w:val="auto"/>
        </w:rPr>
        <w:t xml:space="preserve">Consommation, épargne, propension à consommer, revenu primaire, revenu disponible, structure </w:t>
      </w:r>
      <w:bookmarkEnd w:id="1"/>
      <w:r>
        <w:rPr>
          <w:rFonts w:cs="Arial"/>
          <w:color w:val="auto"/>
        </w:rPr>
        <w:t>de consommation</w:t>
      </w:r>
    </w:p>
    <w:p w:rsidR="006D3EF6" w:rsidRDefault="006D3EF6"/>
    <w:p w:rsidR="006D3EF6" w:rsidRDefault="006D3EF6"/>
    <w:p w:rsidR="00A12FBE" w:rsidRDefault="00A12FBE">
      <w:pPr>
        <w:spacing w:after="160" w:line="259" w:lineRule="auto"/>
        <w:jc w:val="left"/>
        <w:rPr>
          <w:rFonts w:ascii="Arial" w:eastAsiaTheme="majorEastAsia" w:hAnsi="Arial" w:cstheme="majorBidi"/>
          <w:b/>
          <w:bCs/>
          <w:sz w:val="28"/>
          <w:szCs w:val="26"/>
        </w:rPr>
      </w:pPr>
      <w:bookmarkStart w:id="2" w:name="_Toc33187285"/>
      <w:r>
        <w:rPr>
          <w:rFonts w:ascii="Arial" w:hAnsi="Arial"/>
          <w:b/>
          <w:bCs/>
          <w:sz w:val="28"/>
          <w:szCs w:val="26"/>
        </w:rPr>
        <w:br w:type="page"/>
      </w:r>
    </w:p>
    <w:p w:rsidR="00BC03A8" w:rsidRDefault="00BC03A8" w:rsidP="006D3EF6">
      <w:pPr>
        <w:pStyle w:val="Titre1"/>
        <w:keepNext w:val="0"/>
        <w:keepLines w:val="0"/>
        <w:spacing w:before="0" w:after="200" w:line="276" w:lineRule="auto"/>
        <w:ind w:left="360" w:hanging="360"/>
        <w:jc w:val="left"/>
        <w:rPr>
          <w:rFonts w:ascii="Arial" w:hAnsi="Arial"/>
          <w:b/>
          <w:bCs/>
          <w:sz w:val="28"/>
          <w:szCs w:val="26"/>
          <w:u w:val="none"/>
        </w:rPr>
      </w:pPr>
      <w:r w:rsidRPr="006D3EF6">
        <w:rPr>
          <w:rFonts w:ascii="Arial" w:hAnsi="Arial"/>
          <w:b/>
          <w:bCs/>
          <w:sz w:val="28"/>
          <w:szCs w:val="26"/>
          <w:u w:val="none"/>
        </w:rPr>
        <w:lastRenderedPageBreak/>
        <w:t>L’arbitrage entre consommation et épargne</w:t>
      </w:r>
      <w:bookmarkEnd w:id="2"/>
    </w:p>
    <w:p w:rsidR="00F42A3F" w:rsidRPr="00F42A3F" w:rsidRDefault="00F42A3F" w:rsidP="00F42A3F">
      <w:pPr>
        <w:rPr>
          <w:b/>
        </w:rPr>
      </w:pPr>
      <w:r w:rsidRPr="00F42A3F">
        <w:rPr>
          <w:b/>
        </w:rPr>
        <w:t>Extraits du programme d’économie de la classe de première STMG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2971"/>
        <w:gridCol w:w="2971"/>
      </w:tblGrid>
      <w:tr w:rsidR="00F42A3F" w:rsidTr="00F42A3F">
        <w:trPr>
          <w:trHeight w:val="123"/>
        </w:trPr>
        <w:tc>
          <w:tcPr>
            <w:tcW w:w="2971" w:type="dxa"/>
          </w:tcPr>
          <w:p w:rsidR="00F42A3F" w:rsidRDefault="00F42A3F">
            <w:pPr>
              <w:pStyle w:val="Default"/>
              <w:rPr>
                <w:sz w:val="22"/>
                <w:szCs w:val="22"/>
              </w:rPr>
            </w:pPr>
            <w:r>
              <w:rPr>
                <w:b/>
                <w:bCs/>
                <w:sz w:val="22"/>
                <w:szCs w:val="22"/>
              </w:rPr>
              <w:t xml:space="preserve">Thème </w:t>
            </w:r>
          </w:p>
        </w:tc>
        <w:tc>
          <w:tcPr>
            <w:tcW w:w="2971" w:type="dxa"/>
          </w:tcPr>
          <w:p w:rsidR="00F42A3F" w:rsidRDefault="00F42A3F">
            <w:pPr>
              <w:pStyle w:val="Default"/>
              <w:rPr>
                <w:sz w:val="22"/>
                <w:szCs w:val="22"/>
              </w:rPr>
            </w:pPr>
            <w:r>
              <w:rPr>
                <w:b/>
                <w:bCs/>
                <w:sz w:val="22"/>
                <w:szCs w:val="22"/>
              </w:rPr>
              <w:t xml:space="preserve">Contexte et finalités </w:t>
            </w:r>
          </w:p>
        </w:tc>
        <w:tc>
          <w:tcPr>
            <w:tcW w:w="2971" w:type="dxa"/>
          </w:tcPr>
          <w:p w:rsidR="00F42A3F" w:rsidRDefault="00F42A3F">
            <w:pPr>
              <w:pStyle w:val="Default"/>
              <w:rPr>
                <w:b/>
                <w:bCs/>
                <w:sz w:val="22"/>
                <w:szCs w:val="22"/>
              </w:rPr>
            </w:pPr>
            <w:r>
              <w:rPr>
                <w:b/>
                <w:bCs/>
                <w:sz w:val="22"/>
                <w:szCs w:val="22"/>
              </w:rPr>
              <w:t xml:space="preserve">Notions </w:t>
            </w:r>
          </w:p>
          <w:p w:rsidR="00F42A3F" w:rsidRDefault="00F42A3F">
            <w:pPr>
              <w:pStyle w:val="Default"/>
              <w:rPr>
                <w:sz w:val="22"/>
                <w:szCs w:val="22"/>
              </w:rPr>
            </w:pPr>
          </w:p>
        </w:tc>
      </w:tr>
      <w:tr w:rsidR="00F42A3F" w:rsidTr="00F42A3F">
        <w:trPr>
          <w:trHeight w:val="1894"/>
        </w:trPr>
        <w:tc>
          <w:tcPr>
            <w:tcW w:w="2971" w:type="dxa"/>
          </w:tcPr>
          <w:p w:rsidR="00F42A3F" w:rsidRDefault="00F42A3F">
            <w:pPr>
              <w:pStyle w:val="Default"/>
              <w:rPr>
                <w:sz w:val="22"/>
                <w:szCs w:val="22"/>
              </w:rPr>
            </w:pPr>
            <w:r>
              <w:rPr>
                <w:b/>
                <w:bCs/>
                <w:sz w:val="22"/>
                <w:szCs w:val="22"/>
              </w:rPr>
              <w:t xml:space="preserve">III.1. L’arbitrage entre consommation et épargne </w:t>
            </w:r>
          </w:p>
        </w:tc>
        <w:tc>
          <w:tcPr>
            <w:tcW w:w="2971" w:type="dxa"/>
          </w:tcPr>
          <w:p w:rsidR="00F42A3F" w:rsidRDefault="00F42A3F">
            <w:pPr>
              <w:pStyle w:val="Default"/>
              <w:rPr>
                <w:sz w:val="22"/>
                <w:szCs w:val="22"/>
              </w:rPr>
            </w:pPr>
            <w:r>
              <w:rPr>
                <w:sz w:val="22"/>
                <w:szCs w:val="22"/>
              </w:rPr>
              <w:t xml:space="preserve">Le revenu disponible des ménages est réparti entre consommation et épargne. Les variables économiques, sociales et démographiques affectent cet arbitrage. Mais ces variables ont aussi un impact sur la structure de la consommation et de l’épargne. </w:t>
            </w:r>
          </w:p>
          <w:p w:rsidR="00F42A3F" w:rsidRDefault="00F42A3F">
            <w:pPr>
              <w:pStyle w:val="Default"/>
              <w:rPr>
                <w:sz w:val="22"/>
                <w:szCs w:val="22"/>
              </w:rPr>
            </w:pPr>
            <w:r>
              <w:rPr>
                <w:sz w:val="22"/>
                <w:szCs w:val="22"/>
              </w:rPr>
              <w:t xml:space="preserve">Le revenu disponible se répartit entre consommation et épargne. La structure de la consommation (part des différents types de biens et services dans les dépenses) évolue dans le budget des ménages dans le temps et selon différents critères, économiques (revenu, taux d’intérêt, projet d’investissement, etc.), démographiques (vieillissement de la population par exemple) et sociaux (épargne de précaution, anticipations de perte de revenu, chômage, risque de maladie). </w:t>
            </w:r>
          </w:p>
        </w:tc>
        <w:tc>
          <w:tcPr>
            <w:tcW w:w="2971" w:type="dxa"/>
          </w:tcPr>
          <w:p w:rsidR="00F42A3F" w:rsidRDefault="00F42A3F">
            <w:pPr>
              <w:pStyle w:val="Default"/>
              <w:rPr>
                <w:sz w:val="22"/>
                <w:szCs w:val="22"/>
              </w:rPr>
            </w:pPr>
            <w:r>
              <w:rPr>
                <w:sz w:val="22"/>
                <w:szCs w:val="22"/>
              </w:rPr>
              <w:t xml:space="preserve">Les déterminants de l’épargne et de la consommation. </w:t>
            </w:r>
          </w:p>
          <w:p w:rsidR="00F42A3F" w:rsidRDefault="00F42A3F">
            <w:pPr>
              <w:pStyle w:val="Default"/>
              <w:rPr>
                <w:sz w:val="22"/>
                <w:szCs w:val="22"/>
              </w:rPr>
            </w:pPr>
            <w:r>
              <w:rPr>
                <w:sz w:val="22"/>
                <w:szCs w:val="22"/>
              </w:rPr>
              <w:t xml:space="preserve">La propension à consommer. </w:t>
            </w:r>
          </w:p>
          <w:p w:rsidR="00F42A3F" w:rsidRDefault="00F42A3F">
            <w:pPr>
              <w:pStyle w:val="Default"/>
              <w:rPr>
                <w:sz w:val="22"/>
                <w:szCs w:val="22"/>
              </w:rPr>
            </w:pPr>
            <w:r>
              <w:rPr>
                <w:sz w:val="22"/>
                <w:szCs w:val="22"/>
              </w:rPr>
              <w:t xml:space="preserve">Le taux d’épargne. </w:t>
            </w:r>
          </w:p>
          <w:p w:rsidR="00F42A3F" w:rsidRDefault="00F42A3F">
            <w:pPr>
              <w:pStyle w:val="Default"/>
              <w:rPr>
                <w:sz w:val="22"/>
                <w:szCs w:val="22"/>
              </w:rPr>
            </w:pPr>
            <w:r>
              <w:rPr>
                <w:sz w:val="22"/>
                <w:szCs w:val="22"/>
              </w:rPr>
              <w:t xml:space="preserve">Le patrimoine. </w:t>
            </w:r>
          </w:p>
        </w:tc>
      </w:tr>
    </w:tbl>
    <w:p w:rsidR="00F42A3F" w:rsidRDefault="00F42A3F"/>
    <w:p w:rsidR="00F42A3F" w:rsidRDefault="00F42A3F"/>
    <w:p w:rsidR="003E6469" w:rsidRDefault="00BC03A8">
      <w:r>
        <w:t xml:space="preserve">L’épargne est un outil à la disposition des ménages pour transférer leurs ressources dans le temps. </w:t>
      </w:r>
      <w:r w:rsidR="004346ED">
        <w:t>En comptabilité nationale, il est considéré comme l’alternative à la consommation</w:t>
      </w:r>
      <w:r w:rsidR="004346ED">
        <w:rPr>
          <w:rStyle w:val="Appelnotedebasdep"/>
        </w:rPr>
        <w:footnoteReference w:id="1"/>
      </w:r>
      <w:r w:rsidR="004346ED">
        <w:t xml:space="preserve">. </w:t>
      </w:r>
      <w:r w:rsidR="003E6469">
        <w:t>En économie, le terme « épargne » concerne tant les agents prêteurs, que les agents emprunteurs.</w:t>
      </w:r>
    </w:p>
    <w:p w:rsidR="003E6469" w:rsidRDefault="003E6469"/>
    <w:p w:rsidR="003E6469" w:rsidRDefault="003E6469" w:rsidP="003E6469">
      <w:pPr>
        <w:pStyle w:val="Paragraphedeliste"/>
        <w:numPr>
          <w:ilvl w:val="0"/>
          <w:numId w:val="7"/>
        </w:numPr>
      </w:pPr>
      <w:r>
        <w:t xml:space="preserve">Pour les agents prêteurs, l’épargne est positive. Ces agents préfèrent reporter leur </w:t>
      </w:r>
      <w:r w:rsidR="004E3372">
        <w:t>consommation,</w:t>
      </w:r>
      <w:r>
        <w:t xml:space="preserve"> et ne dépensent </w:t>
      </w:r>
      <w:r w:rsidR="004E3372">
        <w:t xml:space="preserve">donc </w:t>
      </w:r>
      <w:r>
        <w:t xml:space="preserve">pas l’intégralité de leur revenu courant.  </w:t>
      </w:r>
    </w:p>
    <w:p w:rsidR="003E6469" w:rsidRDefault="003E6469" w:rsidP="003E6469">
      <w:pPr>
        <w:pStyle w:val="Paragraphedeliste"/>
        <w:numPr>
          <w:ilvl w:val="0"/>
          <w:numId w:val="7"/>
        </w:numPr>
      </w:pPr>
      <w:r>
        <w:t xml:space="preserve">Inversement, pour les agents </w:t>
      </w:r>
      <w:r w:rsidR="004346ED">
        <w:t>emprunteurs</w:t>
      </w:r>
      <w:r>
        <w:t>, l’épargne est négative.</w:t>
      </w:r>
      <w:r w:rsidR="00F8015A">
        <w:t xml:space="preserve"> Leurs dépenses sont supérieures à leur revenu courant.</w:t>
      </w:r>
      <w:r>
        <w:t xml:space="preserve"> </w:t>
      </w:r>
      <w:r w:rsidR="00F8015A">
        <w:t>L</w:t>
      </w:r>
      <w:r>
        <w:t>es emprunts</w:t>
      </w:r>
      <w:r w:rsidR="00F8015A">
        <w:t xml:space="preserve"> leur</w:t>
      </w:r>
      <w:r w:rsidR="004E3372">
        <w:t xml:space="preserve"> </w:t>
      </w:r>
      <w:r>
        <w:t xml:space="preserve">permettent de </w:t>
      </w:r>
      <w:r w:rsidR="004E3372">
        <w:t>dépenser</w:t>
      </w:r>
      <w:r>
        <w:t xml:space="preserve"> dès aujourd’hui </w:t>
      </w:r>
      <w:r w:rsidR="004E3372">
        <w:t>une partie de leurs revenus futurs.</w:t>
      </w:r>
      <w:r w:rsidR="00F8015A">
        <w:t xml:space="preserve"> Cet emprunt sera remboursé par la suite.</w:t>
      </w:r>
    </w:p>
    <w:p w:rsidR="003E6469" w:rsidRDefault="003E6469" w:rsidP="003E6469"/>
    <w:p w:rsidR="009061EE" w:rsidRDefault="006A52D6" w:rsidP="003E6469">
      <w:r>
        <w:t>À</w:t>
      </w:r>
      <w:r w:rsidR="007A19AE">
        <w:t xml:space="preserve"> </w:t>
      </w:r>
      <w:r w:rsidR="00BC03A8">
        <w:t>chaque période les ménages arbitrent entre la consommation et l’épargne</w:t>
      </w:r>
      <w:r w:rsidR="009061EE">
        <w:t>. De nombreux facteurs sont susceptibles d’influencer cet arbitrage dont les plus saillants apparaissent sur le schéma suivant :</w:t>
      </w:r>
    </w:p>
    <w:p w:rsidR="009061EE" w:rsidRDefault="009061EE" w:rsidP="003E6469"/>
    <w:p w:rsidR="009061EE" w:rsidRDefault="009061EE" w:rsidP="003E6469">
      <w:r>
        <w:rPr>
          <w:noProof/>
          <w:lang w:eastAsia="fr-FR"/>
        </w:rPr>
        <w:lastRenderedPageBreak/>
        <mc:AlternateContent>
          <mc:Choice Requires="wpc">
            <w:drawing>
              <wp:inline distT="0" distB="0" distL="0" distR="0" wp14:anchorId="1A271A64" wp14:editId="692C23AD">
                <wp:extent cx="5219700" cy="4267200"/>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ctangle à coins arrondis 7" title="Revenu permanent"/>
                        <wps:cNvSpPr/>
                        <wps:spPr>
                          <a:xfrm>
                            <a:off x="3765193" y="1683219"/>
                            <a:ext cx="1251775" cy="782984"/>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611AA" w:rsidRPr="00F8015A" w:rsidRDefault="00A611AA" w:rsidP="009061EE">
                              <w:pPr>
                                <w:pStyle w:val="NormalWeb"/>
                                <w:spacing w:before="0" w:beforeAutospacing="0" w:after="160" w:afterAutospacing="0" w:line="256" w:lineRule="auto"/>
                                <w:jc w:val="center"/>
                                <w:rPr>
                                  <w:sz w:val="20"/>
                                  <w:szCs w:val="20"/>
                                </w:rPr>
                              </w:pPr>
                              <w:r>
                                <w:rPr>
                                  <w:rFonts w:eastAsia="Calibri"/>
                                  <w:sz w:val="20"/>
                                  <w:szCs w:val="20"/>
                                </w:rPr>
                                <w:t xml:space="preserve">Taux d’intérêt + </w:t>
                              </w:r>
                              <w:r w:rsidRPr="00F8015A">
                                <w:rPr>
                                  <w:rFonts w:eastAsia="Calibri"/>
                                  <w:sz w:val="20"/>
                                  <w:szCs w:val="20"/>
                                </w:rPr>
                                <w:t>Richesse + préférences des consommateurs</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s:wsp>
                        <wps:cNvPr id="13" name="Rectangle à coins arrondis 13" title="Revenu permanent"/>
                        <wps:cNvSpPr/>
                        <wps:spPr>
                          <a:xfrm>
                            <a:off x="1702268" y="1903577"/>
                            <a:ext cx="1509136" cy="860392"/>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611AA" w:rsidRPr="00F8015A" w:rsidRDefault="00A611AA" w:rsidP="009061EE">
                              <w:pPr>
                                <w:pStyle w:val="NormalWeb"/>
                                <w:spacing w:before="0" w:beforeAutospacing="0" w:after="160" w:afterAutospacing="0" w:line="254" w:lineRule="auto"/>
                                <w:jc w:val="center"/>
                                <w:rPr>
                                  <w:sz w:val="20"/>
                                  <w:szCs w:val="20"/>
                                </w:rPr>
                              </w:pPr>
                              <w:r>
                                <w:rPr>
                                  <w:rFonts w:eastAsia="Calibri"/>
                                  <w:sz w:val="20"/>
                                  <w:szCs w:val="20"/>
                                </w:rPr>
                                <w:t>Choix de consommation et d’épargne</w:t>
                              </w:r>
                              <w:r w:rsidRPr="00F8015A">
                                <w:rPr>
                                  <w:rFonts w:eastAsia="Calibri"/>
                                  <w:sz w:val="20"/>
                                  <w:szCs w:val="20"/>
                                </w:rPr>
                                <w:t xml:space="preserve"> </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s:wsp>
                        <wps:cNvPr id="16" name="Rectangle 16"/>
                        <wps:cNvSpPr/>
                        <wps:spPr>
                          <a:xfrm>
                            <a:off x="901274" y="14588"/>
                            <a:ext cx="3292654" cy="4358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11AA" w:rsidRPr="00F8015A" w:rsidRDefault="00A611AA" w:rsidP="009061EE">
                              <w:pPr>
                                <w:jc w:val="center"/>
                                <w:rPr>
                                  <w:sz w:val="20"/>
                                  <w:szCs w:val="20"/>
                                </w:rPr>
                              </w:pPr>
                              <w:r w:rsidRPr="00F8015A">
                                <w:rPr>
                                  <w:sz w:val="20"/>
                                  <w:szCs w:val="20"/>
                                </w:rPr>
                                <w:t xml:space="preserve">Schéma 1 : Les déterminants </w:t>
                              </w:r>
                              <w:r>
                                <w:rPr>
                                  <w:sz w:val="20"/>
                                  <w:szCs w:val="20"/>
                                </w:rPr>
                                <w:t>des choix de</w:t>
                              </w:r>
                              <w:r w:rsidRPr="00F8015A">
                                <w:rPr>
                                  <w:sz w:val="20"/>
                                  <w:szCs w:val="20"/>
                                </w:rPr>
                                <w:t xml:space="preserve"> consommation </w:t>
                              </w:r>
                              <w:r>
                                <w:rPr>
                                  <w:sz w:val="20"/>
                                  <w:szCs w:val="20"/>
                                </w:rPr>
                                <w:t>et</w:t>
                              </w:r>
                              <w:r w:rsidRPr="00F8015A">
                                <w:rPr>
                                  <w:sz w:val="20"/>
                                  <w:szCs w:val="20"/>
                                </w:rPr>
                                <w:t xml:space="preserve"> </w:t>
                              </w:r>
                              <w:r>
                                <w:rPr>
                                  <w:sz w:val="20"/>
                                  <w:szCs w:val="20"/>
                                </w:rPr>
                                <w:t>d’</w:t>
                              </w:r>
                              <w:r w:rsidRPr="00F8015A">
                                <w:rPr>
                                  <w:sz w:val="20"/>
                                  <w:szCs w:val="20"/>
                                </w:rPr>
                                <w:t>épargne</w:t>
                              </w:r>
                            </w:p>
                          </w:txbxContent>
                        </wps:txbx>
                        <wps:bodyPr rot="0" spcFirstLastPara="0" vertOverflow="overflow" horzOverflow="overflow" vert="horz" wrap="square" lIns="72935" tIns="36469" rIns="72935" bIns="36469" numCol="1" spcCol="0" rtlCol="0" fromWordArt="0" anchor="ctr" anchorCtr="0" forceAA="0" compatLnSpc="1">
                          <a:prstTxWarp prst="textNoShape">
                            <a:avLst/>
                          </a:prstTxWarp>
                          <a:noAutofit/>
                        </wps:bodyPr>
                      </wps:wsp>
                      <wps:wsp>
                        <wps:cNvPr id="17" name="Flèche droite 17"/>
                        <wps:cNvSpPr/>
                        <wps:spPr>
                          <a:xfrm rot="3085590">
                            <a:off x="1372499" y="1558506"/>
                            <a:ext cx="789723" cy="6032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935" tIns="36469" rIns="72935" bIns="36469" numCol="1" spcCol="0" rtlCol="0" fromWordArt="0" anchor="ctr" anchorCtr="0" forceAA="0" compatLnSpc="1">
                          <a:prstTxWarp prst="textNoShape">
                            <a:avLst/>
                          </a:prstTxWarp>
                          <a:noAutofit/>
                        </wps:bodyPr>
                      </wps:wsp>
                      <wps:wsp>
                        <wps:cNvPr id="18" name="Rectangle à coins arrondis 18" title="Revenu permanent"/>
                        <wps:cNvSpPr/>
                        <wps:spPr>
                          <a:xfrm>
                            <a:off x="505441" y="629655"/>
                            <a:ext cx="1251574" cy="75632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611AA" w:rsidRPr="00F8015A" w:rsidRDefault="00A611AA" w:rsidP="009061EE">
                              <w:pPr>
                                <w:pStyle w:val="NormalWeb"/>
                                <w:spacing w:before="0" w:beforeAutospacing="0" w:after="160" w:afterAutospacing="0" w:line="254" w:lineRule="auto"/>
                                <w:jc w:val="center"/>
                                <w:rPr>
                                  <w:sz w:val="20"/>
                                  <w:szCs w:val="20"/>
                                </w:rPr>
                              </w:pPr>
                              <w:r w:rsidRPr="00F8015A">
                                <w:rPr>
                                  <w:rFonts w:eastAsia="Calibri"/>
                                  <w:sz w:val="20"/>
                                  <w:szCs w:val="20"/>
                                </w:rPr>
                                <w:t>Revenu courant + propension marginale à consommer</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s:wsp>
                        <wps:cNvPr id="19" name="Flèche droite 19"/>
                        <wps:cNvSpPr/>
                        <wps:spPr>
                          <a:xfrm>
                            <a:off x="1251745" y="2275497"/>
                            <a:ext cx="440529" cy="41599"/>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935" tIns="36469" rIns="72935" bIns="36469" numCol="1" spcCol="0" rtlCol="0" fromWordArt="0" anchor="ctr" anchorCtr="0" forceAA="0" compatLnSpc="1">
                          <a:prstTxWarp prst="textNoShape">
                            <a:avLst/>
                          </a:prstTxWarp>
                          <a:noAutofit/>
                        </wps:bodyPr>
                      </wps:wsp>
                      <wps:wsp>
                        <wps:cNvPr id="21" name="Flèche droite 21"/>
                        <wps:cNvSpPr/>
                        <wps:spPr>
                          <a:xfrm rot="19074964">
                            <a:off x="1414348" y="3016894"/>
                            <a:ext cx="797945" cy="45719"/>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935" tIns="36469" rIns="72935" bIns="36469" numCol="1" spcCol="0" rtlCol="0" fromWordArt="0" anchor="ctr" anchorCtr="0" forceAA="0" compatLnSpc="1">
                          <a:prstTxWarp prst="textNoShape">
                            <a:avLst/>
                          </a:prstTxWarp>
                          <a:noAutofit/>
                        </wps:bodyPr>
                      </wps:wsp>
                      <wps:wsp>
                        <wps:cNvPr id="23" name="Rectangle à coins arrondis 23" title="Revenu permanent"/>
                        <wps:cNvSpPr/>
                        <wps:spPr>
                          <a:xfrm>
                            <a:off x="3012032" y="3292856"/>
                            <a:ext cx="1698822" cy="891793"/>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611AA" w:rsidRPr="00F8015A" w:rsidRDefault="00A611AA" w:rsidP="009061EE">
                              <w:pPr>
                                <w:pStyle w:val="NormalWeb"/>
                                <w:spacing w:before="0" w:beforeAutospacing="0" w:after="160" w:afterAutospacing="0" w:line="252" w:lineRule="auto"/>
                                <w:jc w:val="center"/>
                                <w:rPr>
                                  <w:rFonts w:eastAsia="Calibri"/>
                                  <w:sz w:val="20"/>
                                  <w:szCs w:val="20"/>
                                </w:rPr>
                              </w:pPr>
                              <w:r w:rsidRPr="00F8015A">
                                <w:rPr>
                                  <w:rFonts w:eastAsia="Calibri"/>
                                  <w:sz w:val="20"/>
                                  <w:szCs w:val="20"/>
                                </w:rPr>
                                <w:t>Age + choix intertemporel</w:t>
                              </w:r>
                            </w:p>
                            <w:p w:rsidR="00A611AA" w:rsidRPr="00F8015A" w:rsidRDefault="00A611AA" w:rsidP="009061EE">
                              <w:pPr>
                                <w:pStyle w:val="NormalWeb"/>
                                <w:spacing w:before="0" w:beforeAutospacing="0" w:after="160" w:afterAutospacing="0" w:line="252" w:lineRule="auto"/>
                                <w:jc w:val="center"/>
                                <w:rPr>
                                  <w:i/>
                                  <w:sz w:val="20"/>
                                  <w:szCs w:val="20"/>
                                </w:rPr>
                              </w:pPr>
                              <w:r w:rsidRPr="00F8015A">
                                <w:rPr>
                                  <w:rFonts w:eastAsia="Calibri"/>
                                  <w:i/>
                                  <w:sz w:val="20"/>
                                  <w:szCs w:val="20"/>
                                </w:rPr>
                                <w:t>Les agents accumulent un patrimoine pour leurs vieux jours</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s:wsp>
                        <wps:cNvPr id="24" name="Flèche droite 24"/>
                        <wps:cNvSpPr/>
                        <wps:spPr>
                          <a:xfrm rot="10800000">
                            <a:off x="3214040" y="2308359"/>
                            <a:ext cx="551153" cy="38744"/>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935" tIns="36469" rIns="72935" bIns="36469" numCol="1" spcCol="0" rtlCol="0" fromWordArt="0" anchor="ctr" anchorCtr="0" forceAA="0" compatLnSpc="1">
                          <a:prstTxWarp prst="textNoShape">
                            <a:avLst/>
                          </a:prstTxWarp>
                          <a:noAutofit/>
                        </wps:bodyPr>
                      </wps:wsp>
                      <wps:wsp>
                        <wps:cNvPr id="25" name="Rectangle à coins arrondis 25" title="Revenu permanent"/>
                        <wps:cNvSpPr/>
                        <wps:spPr>
                          <a:xfrm>
                            <a:off x="18" y="1916180"/>
                            <a:ext cx="1251574" cy="87482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611AA" w:rsidRPr="00F8015A" w:rsidRDefault="00A611AA" w:rsidP="009061EE">
                              <w:pPr>
                                <w:pStyle w:val="NormalWeb"/>
                                <w:spacing w:before="0" w:beforeAutospacing="0" w:after="160" w:afterAutospacing="0" w:line="254" w:lineRule="auto"/>
                                <w:jc w:val="center"/>
                                <w:rPr>
                                  <w:sz w:val="20"/>
                                  <w:szCs w:val="20"/>
                                </w:rPr>
                              </w:pPr>
                              <w:r w:rsidRPr="00F8015A">
                                <w:rPr>
                                  <w:rFonts w:eastAsia="Calibri"/>
                                  <w:sz w:val="20"/>
                                  <w:szCs w:val="20"/>
                                </w:rPr>
                                <w:t>Epargne de précaution</w:t>
                              </w:r>
                            </w:p>
                            <w:p w:rsidR="00A611AA" w:rsidRPr="00F8015A" w:rsidRDefault="00A611AA" w:rsidP="009061EE">
                              <w:pPr>
                                <w:pStyle w:val="NormalWeb"/>
                                <w:spacing w:before="0" w:beforeAutospacing="0" w:after="160" w:afterAutospacing="0" w:line="254" w:lineRule="auto"/>
                                <w:jc w:val="center"/>
                                <w:rPr>
                                  <w:sz w:val="20"/>
                                  <w:szCs w:val="20"/>
                                </w:rPr>
                              </w:pPr>
                              <w:r w:rsidRPr="00F8015A">
                                <w:rPr>
                                  <w:rFonts w:eastAsia="Calibri"/>
                                  <w:sz w:val="20"/>
                                  <w:szCs w:val="20"/>
                                </w:rPr>
                                <w:t>Prudence + risque sur les revenus futurs</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s:wsp>
                        <wps:cNvPr id="26" name="Flèche droite 26"/>
                        <wps:cNvSpPr/>
                        <wps:spPr>
                          <a:xfrm rot="13916116">
                            <a:off x="2909515" y="2989796"/>
                            <a:ext cx="652280" cy="5726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935" tIns="36469" rIns="72935" bIns="36469" numCol="1" spcCol="0" rtlCol="0" fromWordArt="0" anchor="ctr" anchorCtr="0" forceAA="0" compatLnSpc="1">
                          <a:prstTxWarp prst="textNoShape">
                            <a:avLst/>
                          </a:prstTxWarp>
                          <a:noAutofit/>
                        </wps:bodyPr>
                      </wps:wsp>
                      <wps:wsp>
                        <wps:cNvPr id="28" name="Rectangle à coins arrondis 28" title="Revenu permanent"/>
                        <wps:cNvSpPr/>
                        <wps:spPr>
                          <a:xfrm>
                            <a:off x="704424" y="3324119"/>
                            <a:ext cx="1251574" cy="919671"/>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611AA" w:rsidRPr="00F8015A" w:rsidRDefault="00A611AA" w:rsidP="009061EE">
                              <w:pPr>
                                <w:pStyle w:val="NormalWeb"/>
                                <w:spacing w:before="0" w:beforeAutospacing="0" w:after="160" w:afterAutospacing="0" w:line="252" w:lineRule="auto"/>
                                <w:jc w:val="center"/>
                                <w:rPr>
                                  <w:sz w:val="20"/>
                                  <w:szCs w:val="20"/>
                                </w:rPr>
                              </w:pPr>
                              <w:r w:rsidRPr="00F8015A">
                                <w:rPr>
                                  <w:rFonts w:eastAsia="Calibri"/>
                                  <w:sz w:val="20"/>
                                  <w:szCs w:val="20"/>
                                </w:rPr>
                                <w:t>Epargne pour les legs</w:t>
                              </w:r>
                            </w:p>
                            <w:p w:rsidR="00A611AA" w:rsidRPr="00F8015A" w:rsidRDefault="00A611AA" w:rsidP="009061EE">
                              <w:pPr>
                                <w:pStyle w:val="NormalWeb"/>
                                <w:spacing w:before="0" w:beforeAutospacing="0" w:after="160" w:afterAutospacing="0" w:line="252" w:lineRule="auto"/>
                                <w:jc w:val="center"/>
                                <w:rPr>
                                  <w:sz w:val="20"/>
                                  <w:szCs w:val="20"/>
                                </w:rPr>
                              </w:pPr>
                              <w:r w:rsidRPr="00F8015A">
                                <w:rPr>
                                  <w:rFonts w:eastAsia="Calibri"/>
                                  <w:sz w:val="20"/>
                                  <w:szCs w:val="20"/>
                                </w:rPr>
                                <w:t>Altruisme intergénérationnel</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s:wsp>
                        <wps:cNvPr id="29" name="Flèche droite 29"/>
                        <wps:cNvSpPr/>
                        <wps:spPr>
                          <a:xfrm rot="7134586">
                            <a:off x="2530752" y="1593739"/>
                            <a:ext cx="617340" cy="53436"/>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935" tIns="36469" rIns="72935" bIns="36469" numCol="1" spcCol="0" rtlCol="0" fromWordArt="0" anchor="ctr" anchorCtr="0" forceAA="0" compatLnSpc="1">
                          <a:prstTxWarp prst="textNoShape">
                            <a:avLst/>
                          </a:prstTxWarp>
                          <a:noAutofit/>
                        </wps:bodyPr>
                      </wps:wsp>
                      <wps:wsp>
                        <wps:cNvPr id="30" name="Rectangle à coins arrondis 30" title="Revenu permanent"/>
                        <wps:cNvSpPr/>
                        <wps:spPr>
                          <a:xfrm>
                            <a:off x="2739139" y="585713"/>
                            <a:ext cx="1251574" cy="756078"/>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A611AA" w:rsidRPr="00F8015A" w:rsidRDefault="00A611AA" w:rsidP="009061EE">
                              <w:pPr>
                                <w:pStyle w:val="NormalWeb"/>
                                <w:spacing w:before="0" w:beforeAutospacing="0" w:after="160" w:afterAutospacing="0" w:line="252" w:lineRule="auto"/>
                                <w:jc w:val="center"/>
                                <w:rPr>
                                  <w:sz w:val="20"/>
                                  <w:szCs w:val="20"/>
                                </w:rPr>
                              </w:pPr>
                              <w:r w:rsidRPr="00F8015A">
                                <w:rPr>
                                  <w:rFonts w:eastAsia="Calibri"/>
                                  <w:sz w:val="20"/>
                                  <w:szCs w:val="20"/>
                                </w:rPr>
                                <w:t>Habitudes et imitation sociale</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c:wpc>
                  </a:graphicData>
                </a:graphic>
              </wp:inline>
            </w:drawing>
          </mc:Choice>
          <mc:Fallback>
            <w:pict>
              <v:group id="Zone de dessin 1" o:spid="_x0000_s1026" editas="canvas" style="width:411pt;height:336pt;mso-position-horizontal-relative:char;mso-position-vertical-relative:line" coordsize="52197,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97;height:42672;visibility:visible;mso-wrap-style:square">
                  <v:fill o:detectmouseclick="t"/>
                  <v:path o:connecttype="none"/>
                </v:shape>
                <v:roundrect id="Rectangle à coins arrondis 7" o:spid="_x0000_s1028" style="position:absolute;left:37651;top:16832;width:12518;height:78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1msEA&#10;AADaAAAADwAAAGRycy9kb3ducmV2LnhtbESPQWsCMRSE7wX/Q3hCbzXr0lZdjSKC0mtV0ONj89xd&#10;NnlZkuiu/74pFHocZuYbZrUZrBEP8qFxrGA6yUAQl043XCk4n/ZvcxAhIms0jknBkwJs1qOXFRba&#10;9fxNj2OsRIJwKFBBHWNXSBnKmiyGieuIk3dz3mJM0ldSe+wT3BqZZ9mntNhwWqixo11NZXu8WwW7&#10;j2HRt1eTR9M25V5e8q1/Pyj1Oh62SxCRhvgf/mt/aQUz+L2Sbo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tZrBAAAA2gAAAA8AAAAAAAAAAAAAAAAAmAIAAGRycy9kb3du&#10;cmV2LnhtbFBLBQYAAAAABAAEAPUAAACGAwAAAAA=&#10;" fillcolor="white [3201]" strokecolor="#a5a5a5 [3206]" strokeweight="1pt">
                  <v:stroke joinstyle="miter"/>
                  <v:textbox inset="2.02597mm,1.013mm,2.02597mm,1.013mm">
                    <w:txbxContent>
                      <w:p w:rsidR="00A611AA" w:rsidRPr="00F8015A" w:rsidRDefault="00A611AA" w:rsidP="009061EE">
                        <w:pPr>
                          <w:pStyle w:val="NormalWeb"/>
                          <w:spacing w:before="0" w:beforeAutospacing="0" w:after="160" w:afterAutospacing="0" w:line="256" w:lineRule="auto"/>
                          <w:jc w:val="center"/>
                          <w:rPr>
                            <w:sz w:val="20"/>
                            <w:szCs w:val="20"/>
                          </w:rPr>
                        </w:pPr>
                        <w:r>
                          <w:rPr>
                            <w:rFonts w:eastAsia="Calibri"/>
                            <w:sz w:val="20"/>
                            <w:szCs w:val="20"/>
                          </w:rPr>
                          <w:t xml:space="preserve">Taux d’intérêt + </w:t>
                        </w:r>
                        <w:r w:rsidRPr="00F8015A">
                          <w:rPr>
                            <w:rFonts w:eastAsia="Calibri"/>
                            <w:sz w:val="20"/>
                            <w:szCs w:val="20"/>
                          </w:rPr>
                          <w:t>Richesse + préférences des consommateurs</w:t>
                        </w:r>
                      </w:p>
                    </w:txbxContent>
                  </v:textbox>
                </v:roundrect>
                <v:roundrect id="Rectangle à coins arrondis 13" o:spid="_x0000_s1029" style="position:absolute;left:17022;top:19035;width:15092;height:8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aVcAA&#10;AADbAAAADwAAAGRycy9kb3ducmV2LnhtbERP32vCMBB+H/g/hBP2NlO7TbQaRQRlr1NBH4/mbEuT&#10;S0mirf/9Mhjs7T6+n7faDNaIB/nQOFYwnWQgiEunG64UnE/7tzmIEJE1Gsek4EkBNuvRywoL7Xr+&#10;pscxViKFcChQQR1jV0gZyposhonriBN3c95iTNBXUnvsU7g1Ms+ymbTYcGqosaNdTWV7vFsFu89h&#10;0bdXk0fTNuVeXvKt/zgo9ToetksQkYb4L/5zf+k0/x1+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DaVcAAAADbAAAADwAAAAAAAAAAAAAAAACYAgAAZHJzL2Rvd25y&#10;ZXYueG1sUEsFBgAAAAAEAAQA9QAAAIUDAAAAAA==&#10;" fillcolor="white [3201]" strokecolor="#a5a5a5 [3206]" strokeweight="1pt">
                  <v:stroke joinstyle="miter"/>
                  <v:textbox inset="2.02597mm,1.013mm,2.02597mm,1.013mm">
                    <w:txbxContent>
                      <w:p w:rsidR="00A611AA" w:rsidRPr="00F8015A" w:rsidRDefault="00A611AA" w:rsidP="009061EE">
                        <w:pPr>
                          <w:pStyle w:val="NormalWeb"/>
                          <w:spacing w:before="0" w:beforeAutospacing="0" w:after="160" w:afterAutospacing="0" w:line="254" w:lineRule="auto"/>
                          <w:jc w:val="center"/>
                          <w:rPr>
                            <w:sz w:val="20"/>
                            <w:szCs w:val="20"/>
                          </w:rPr>
                        </w:pPr>
                        <w:r>
                          <w:rPr>
                            <w:rFonts w:eastAsia="Calibri"/>
                            <w:sz w:val="20"/>
                            <w:szCs w:val="20"/>
                          </w:rPr>
                          <w:t>Choix de consommation et d’épargne</w:t>
                        </w:r>
                        <w:r w:rsidRPr="00F8015A">
                          <w:rPr>
                            <w:rFonts w:eastAsia="Calibri"/>
                            <w:sz w:val="20"/>
                            <w:szCs w:val="20"/>
                          </w:rPr>
                          <w:t xml:space="preserve"> </w:t>
                        </w:r>
                      </w:p>
                    </w:txbxContent>
                  </v:textbox>
                </v:roundrect>
                <v:rect id="Rectangle 16" o:spid="_x0000_s1030" style="position:absolute;left:9012;top:145;width:32927;height:4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HMEA&#10;AADbAAAADwAAAGRycy9kb3ducmV2LnhtbERPTWvCQBC9F/wPywjemo1NGyR1FSkI5hirLd6G7DQJ&#10;ZmfD7hrTf98tFHqbx/uc9XYyvRjJ+c6ygmWSgiCure64UXB63z+uQPiArLG3TAq+ycN2M3tYY6Ht&#10;nSsaj6ERMYR9gQraEIZCSl+3ZNAndiCO3Jd1BkOErpHa4T2Gm14+pWkuDXYcG1oc6K2l+nq8GQU2&#10;60qZfy5fsHLVxxmzMlyeS6UW82n3CiLQFP7Ff+6DjvNz+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sBzBAAAA2wAAAA8AAAAAAAAAAAAAAAAAmAIAAGRycy9kb3du&#10;cmV2LnhtbFBLBQYAAAAABAAEAPUAAACGAwAAAAA=&#10;" fillcolor="white [3201]" strokecolor="black [3213]" strokeweight="1pt">
                  <v:textbox inset="2.02597mm,1.013mm,2.02597mm,1.013mm">
                    <w:txbxContent>
                      <w:p w:rsidR="00A611AA" w:rsidRPr="00F8015A" w:rsidRDefault="00A611AA" w:rsidP="009061EE">
                        <w:pPr>
                          <w:jc w:val="center"/>
                          <w:rPr>
                            <w:sz w:val="20"/>
                            <w:szCs w:val="20"/>
                          </w:rPr>
                        </w:pPr>
                        <w:r w:rsidRPr="00F8015A">
                          <w:rPr>
                            <w:sz w:val="20"/>
                            <w:szCs w:val="20"/>
                          </w:rPr>
                          <w:t xml:space="preserve">Schéma 1 : Les déterminants </w:t>
                        </w:r>
                        <w:r>
                          <w:rPr>
                            <w:sz w:val="20"/>
                            <w:szCs w:val="20"/>
                          </w:rPr>
                          <w:t>des choix de</w:t>
                        </w:r>
                        <w:r w:rsidRPr="00F8015A">
                          <w:rPr>
                            <w:sz w:val="20"/>
                            <w:szCs w:val="20"/>
                          </w:rPr>
                          <w:t xml:space="preserve"> consommation </w:t>
                        </w:r>
                        <w:r>
                          <w:rPr>
                            <w:sz w:val="20"/>
                            <w:szCs w:val="20"/>
                          </w:rPr>
                          <w:t>et</w:t>
                        </w:r>
                        <w:r w:rsidRPr="00F8015A">
                          <w:rPr>
                            <w:sz w:val="20"/>
                            <w:szCs w:val="20"/>
                          </w:rPr>
                          <w:t xml:space="preserve"> </w:t>
                        </w:r>
                        <w:r>
                          <w:rPr>
                            <w:sz w:val="20"/>
                            <w:szCs w:val="20"/>
                          </w:rPr>
                          <w:t>d’</w:t>
                        </w:r>
                        <w:r w:rsidRPr="00F8015A">
                          <w:rPr>
                            <w:sz w:val="20"/>
                            <w:szCs w:val="20"/>
                          </w:rPr>
                          <w:t>épargne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7" o:spid="_x0000_s1031" type="#_x0000_t13" style="position:absolute;left:13724;top:15585;width:7897;height:604;rotation:33702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h5sMA&#10;AADbAAAADwAAAGRycy9kb3ducmV2LnhtbERPTWsCMRC9C/0PYQQvotlKbctqlCII9VBt1woex824&#10;uzSZrJtUt//eFARv83ifM5231ogzNb5yrOBxmIAgzp2uuFDwvV0OXkH4gKzROCYFf+RhPnvoTDHV&#10;7sJfdM5CIWII+xQVlCHUqZQ+L8miH7qaOHJH11gMETaF1A1eYrg1cpQkz9JixbGhxJoWJeU/2a9V&#10;sDt89FcL8zRe417Kz41ZG33qK9Xrtm8TEIHacBff3O86zn+B/1/iA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ph5sMAAADbAAAADwAAAAAAAAAAAAAAAACYAgAAZHJzL2Rv&#10;d25yZXYueG1sUEsFBgAAAAAEAAQA9QAAAIgDAAAAAA==&#10;" adj="20775" filled="f" strokecolor="black [3213]" strokeweight="1pt">
                  <v:textbox inset="2.02597mm,1.013mm,2.02597mm,1.013mm"/>
                </v:shape>
                <v:roundrect id="Rectangle à coins arrondis 18" o:spid="_x0000_s1032" style="position:absolute;left:5054;top:6296;width:12516;height:75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IJMIA&#10;AADbAAAADwAAAGRycy9kb3ducmV2LnhtbESPQWvDMAyF74P9B6PCbqvTsI0trVtKoaPXtYXtKGI1&#10;CbHlYHtN9u+rw6A3iff03qfVZvJOXSmmLrCBxbwARVwH23Fj4HzaP7+DShnZogtMBv4owWb9+LDC&#10;yoaRv+h6zI2SEE4VGmhzHiqtU92SxzQPA7FolxA9Zlljo23EUcK902VRvGmPHUtDiwPtWqr74683&#10;sHudPsb+x5XZ9V2919/lNr58GvM0m7ZLUJmmfDf/Xx+s4Aus/CID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EgkwgAAANsAAAAPAAAAAAAAAAAAAAAAAJgCAABkcnMvZG93&#10;bnJldi54bWxQSwUGAAAAAAQABAD1AAAAhwMAAAAA&#10;" fillcolor="white [3201]" strokecolor="#a5a5a5 [3206]" strokeweight="1pt">
                  <v:stroke joinstyle="miter"/>
                  <v:textbox inset="2.02597mm,1.013mm,2.02597mm,1.013mm">
                    <w:txbxContent>
                      <w:p w:rsidR="00A611AA" w:rsidRPr="00F8015A" w:rsidRDefault="00A611AA" w:rsidP="009061EE">
                        <w:pPr>
                          <w:pStyle w:val="NormalWeb"/>
                          <w:spacing w:before="0" w:beforeAutospacing="0" w:after="160" w:afterAutospacing="0" w:line="254" w:lineRule="auto"/>
                          <w:jc w:val="center"/>
                          <w:rPr>
                            <w:sz w:val="20"/>
                            <w:szCs w:val="20"/>
                          </w:rPr>
                        </w:pPr>
                        <w:r w:rsidRPr="00F8015A">
                          <w:rPr>
                            <w:rFonts w:eastAsia="Calibri"/>
                            <w:sz w:val="20"/>
                            <w:szCs w:val="20"/>
                          </w:rPr>
                          <w:t>Revenu courant + propension marginale à consommer</w:t>
                        </w:r>
                      </w:p>
                    </w:txbxContent>
                  </v:textbox>
                </v:roundrect>
                <v:shape id="Flèche droite 19" o:spid="_x0000_s1033" type="#_x0000_t13" style="position:absolute;left:12517;top:22754;width:4405;height: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VqcQA&#10;AADbAAAADwAAAGRycy9kb3ducmV2LnhtbERPTWvCQBC9C/0PyxR6M5sWqjXNRkSoiOJBrWhvY3ZM&#10;QrOzIbtq6q93C4Xe5vE+Jx13phYXal1lWcFzFIMgzq2uuFDwuf3ov4FwHlljbZkU/JCDcfbQSzHR&#10;9sprumx8IUIIuwQVlN43iZQuL8mgi2xDHLiTbQ36ANtC6havIdzU8iWOB9JgxaGhxIamJeXfm7NR&#10;gKvtYj97ve2cPMyK5e4w9F/HoVJPj93kHYSnzv+L/9xzHeaP4PeXcI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XlanEAAAA2wAAAA8AAAAAAAAAAAAAAAAAmAIAAGRycy9k&#10;b3ducmV2LnhtbFBLBQYAAAAABAAEAPUAAACJAwAAAAA=&#10;" adj="20580" filled="f" strokecolor="black [3213]" strokeweight="1pt">
                  <v:textbox inset="2.02597mm,1.013mm,2.02597mm,1.013mm"/>
                </v:shape>
                <v:shape id="Flèche droite 21" o:spid="_x0000_s1034" type="#_x0000_t13" style="position:absolute;left:14143;top:30168;width:7979;height:458;rotation:-27580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qsUA&#10;AADbAAAADwAAAGRycy9kb3ducmV2LnhtbESPQWvCQBSE70L/w/KE3ppNQqlt6ipFKRWRQpOC10f2&#10;mUSzb0N2G+O/d4WCx2FmvmHmy9G0YqDeNZYVJFEMgri0uuFKwW/x+fQKwnlkja1lUnAhB8vFw2SO&#10;mbZn/qEh95UIEHYZKqi97zIpXVmTQRfZjjh4B9sb9EH2ldQ9ngPctDKN4xdpsOGwUGNHq5rKU/5n&#10;FHzNjols9rPddhPvv6t1q5+L3ZtSj9Px4x2Ep9Hfw//tjVaQJnD7E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lKqxQAAANsAAAAPAAAAAAAAAAAAAAAAAJgCAABkcnMv&#10;ZG93bnJldi54bWxQSwUGAAAAAAQABAD1AAAAigMAAAAA&#10;" adj="20981" filled="f" strokecolor="black [3213]" strokeweight="1pt">
                  <v:textbox inset="2.02597mm,1.013mm,2.02597mm,1.013mm"/>
                </v:shape>
                <v:roundrect id="Rectangle à coins arrondis 23" o:spid="_x0000_s1035" style="position:absolute;left:30120;top:32928;width:16988;height:8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Q6MIA&#10;AADbAAAADwAAAGRycy9kb3ducmV2LnhtbESPQWsCMRSE7wX/Q3hCbzXrthVdjSKC0mtV0ONj89xd&#10;NnlZkuiu/74pFHocZuYbZrUZrBEP8qFxrGA6yUAQl043XCk4n/ZvcxAhIms0jknBkwJs1qOXFRba&#10;9fxNj2OsRIJwKFBBHWNXSBnKmiyGieuIk3dz3mJM0ldSe+wT3BqZZ9lMWmw4LdTY0a6msj3erYLd&#10;57Do26vJo2mbci8v+dZ/HJR6HQ/bJYhIQ/wP/7W/tIL8HX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BDowgAAANsAAAAPAAAAAAAAAAAAAAAAAJgCAABkcnMvZG93&#10;bnJldi54bWxQSwUGAAAAAAQABAD1AAAAhwMAAAAA&#10;" fillcolor="white [3201]" strokecolor="#a5a5a5 [3206]" strokeweight="1pt">
                  <v:stroke joinstyle="miter"/>
                  <v:textbox inset="2.02597mm,1.013mm,2.02597mm,1.013mm">
                    <w:txbxContent>
                      <w:p w:rsidR="00A611AA" w:rsidRPr="00F8015A" w:rsidRDefault="00A611AA" w:rsidP="009061EE">
                        <w:pPr>
                          <w:pStyle w:val="NormalWeb"/>
                          <w:spacing w:before="0" w:beforeAutospacing="0" w:after="160" w:afterAutospacing="0" w:line="252" w:lineRule="auto"/>
                          <w:jc w:val="center"/>
                          <w:rPr>
                            <w:rFonts w:eastAsia="Calibri"/>
                            <w:sz w:val="20"/>
                            <w:szCs w:val="20"/>
                          </w:rPr>
                        </w:pPr>
                        <w:r w:rsidRPr="00F8015A">
                          <w:rPr>
                            <w:rFonts w:eastAsia="Calibri"/>
                            <w:sz w:val="20"/>
                            <w:szCs w:val="20"/>
                          </w:rPr>
                          <w:t>Age + choix intertemporel</w:t>
                        </w:r>
                      </w:p>
                      <w:p w:rsidR="00A611AA" w:rsidRPr="00F8015A" w:rsidRDefault="00A611AA" w:rsidP="009061EE">
                        <w:pPr>
                          <w:pStyle w:val="NormalWeb"/>
                          <w:spacing w:before="0" w:beforeAutospacing="0" w:after="160" w:afterAutospacing="0" w:line="252" w:lineRule="auto"/>
                          <w:jc w:val="center"/>
                          <w:rPr>
                            <w:i/>
                            <w:sz w:val="20"/>
                            <w:szCs w:val="20"/>
                          </w:rPr>
                        </w:pPr>
                        <w:r w:rsidRPr="00F8015A">
                          <w:rPr>
                            <w:rFonts w:eastAsia="Calibri"/>
                            <w:i/>
                            <w:sz w:val="20"/>
                            <w:szCs w:val="20"/>
                          </w:rPr>
                          <w:t>Les agents accumulent un patrimoine pour leurs vieux jours</w:t>
                        </w:r>
                      </w:p>
                    </w:txbxContent>
                  </v:textbox>
                </v:roundrect>
                <v:shape id="Flèche droite 24" o:spid="_x0000_s1036" type="#_x0000_t13" style="position:absolute;left:32140;top:23083;width:5511;height: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a48IA&#10;AADbAAAADwAAAGRycy9kb3ducmV2LnhtbESPT4vCMBTE78J+h/AW9qbpioh2jaILgjf/1Iu3R/Pa&#10;dG1eShNt99sbQfA4zMxvmMWqt7W4U+srxwq+RwkI4tzpiksF52w7nIHwAVlj7ZgU/JOH1fJjsMBU&#10;u46PdD+FUkQI+xQVmBCaVEqfG7LoR64hjl7hWoshyraUusUuwm0tx0kylRYrjgsGG/o1lF9PN6tg&#10;f9uYYnNpzpnXf/32UHRmPuuU+vrs1z8gAvXhHX61d1rBeAL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FrjwgAAANsAAAAPAAAAAAAAAAAAAAAAAJgCAABkcnMvZG93&#10;bnJldi54bWxQSwUGAAAAAAQABAD1AAAAhwMAAAAA&#10;" adj="20841" filled="f" strokecolor="black [3213]" strokeweight="1pt">
                  <v:textbox inset="2.02597mm,1.013mm,2.02597mm,1.013mm"/>
                </v:shape>
                <v:roundrect id="Rectangle à coins arrondis 25" o:spid="_x0000_s1037" style="position:absolute;top:19161;width:12515;height:87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B8IA&#10;AADbAAAADwAAAGRycy9kb3ducmV2LnhtbESPT4vCMBTE7wv7HcJb2NuablFxq1FEULz6B9zjo3m2&#10;pclLSbK2++2NIHgcZuY3zGI1WCNu5EPjWMH3KANBXDrdcKXgfNp+zUCEiKzROCYF/xRgtXx/W2Ch&#10;Xc8Huh1jJRKEQ4EK6hi7QspQ1mQxjFxHnLyr8xZjkr6S2mOf4NbIPMum0mLDaaHGjjY1le3xzyrY&#10;TIafvv01eTRtU27lJV/78U6pz49hPQcRaYiv8LO91wryCTy+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0HwgAAANsAAAAPAAAAAAAAAAAAAAAAAJgCAABkcnMvZG93&#10;bnJldi54bWxQSwUGAAAAAAQABAD1AAAAhwMAAAAA&#10;" fillcolor="white [3201]" strokecolor="#a5a5a5 [3206]" strokeweight="1pt">
                  <v:stroke joinstyle="miter"/>
                  <v:textbox inset="2.02597mm,1.013mm,2.02597mm,1.013mm">
                    <w:txbxContent>
                      <w:p w:rsidR="00A611AA" w:rsidRPr="00F8015A" w:rsidRDefault="00A611AA" w:rsidP="009061EE">
                        <w:pPr>
                          <w:pStyle w:val="NormalWeb"/>
                          <w:spacing w:before="0" w:beforeAutospacing="0" w:after="160" w:afterAutospacing="0" w:line="254" w:lineRule="auto"/>
                          <w:jc w:val="center"/>
                          <w:rPr>
                            <w:sz w:val="20"/>
                            <w:szCs w:val="20"/>
                          </w:rPr>
                        </w:pPr>
                        <w:r w:rsidRPr="00F8015A">
                          <w:rPr>
                            <w:rFonts w:eastAsia="Calibri"/>
                            <w:sz w:val="20"/>
                            <w:szCs w:val="20"/>
                          </w:rPr>
                          <w:t>Epargne de précaution</w:t>
                        </w:r>
                      </w:p>
                      <w:p w:rsidR="00A611AA" w:rsidRPr="00F8015A" w:rsidRDefault="00A611AA" w:rsidP="009061EE">
                        <w:pPr>
                          <w:pStyle w:val="NormalWeb"/>
                          <w:spacing w:before="0" w:beforeAutospacing="0" w:after="160" w:afterAutospacing="0" w:line="254" w:lineRule="auto"/>
                          <w:jc w:val="center"/>
                          <w:rPr>
                            <w:sz w:val="20"/>
                            <w:szCs w:val="20"/>
                          </w:rPr>
                        </w:pPr>
                        <w:r w:rsidRPr="00F8015A">
                          <w:rPr>
                            <w:rFonts w:eastAsia="Calibri"/>
                            <w:sz w:val="20"/>
                            <w:szCs w:val="20"/>
                          </w:rPr>
                          <w:t>Prudence + risque sur les revenus futurs</w:t>
                        </w:r>
                      </w:p>
                    </w:txbxContent>
                  </v:textbox>
                </v:roundrect>
                <v:shape id="Flèche droite 26" o:spid="_x0000_s1038" type="#_x0000_t13" style="position:absolute;left:29094;top:29898;width:6523;height:572;rotation:-83928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byMYA&#10;AADbAAAADwAAAGRycy9kb3ducmV2LnhtbESPW2vCQBSE3wv9D8sp+FKaTRWlpq5SBKGlD1Itkb4d&#10;sicXzJ4N2c3Ff98VBB+HmfmGWW1GU4ueWldZVvAaxSCIM6srLhT8HncvbyCcR9ZYWyYFF3KwWT8+&#10;rDDRduAf6g++EAHCLkEFpfdNIqXLSjLoItsQBy+3rUEfZFtI3eIQ4KaW0zheSIMVh4USG9qWlJ0P&#10;nVHwNf9epvvn4+yc7rizf9TnpyxXavI0fryD8DT6e/jW/tQKpgu4fgk/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FbyMYAAADbAAAADwAAAAAAAAAAAAAAAACYAgAAZHJz&#10;L2Rvd25yZXYueG1sUEsFBgAAAAAEAAQA9QAAAIsDAAAAAA==&#10;" adj="20652" filled="f" strokecolor="black [3213]" strokeweight="1pt">
                  <v:textbox inset="2.02597mm,1.013mm,2.02597mm,1.013mm"/>
                </v:shape>
                <v:roundrect id="Rectangle à coins arrondis 28" o:spid="_x0000_s1039" style="position:absolute;left:7044;top:33241;width:12515;height:9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Cmb4A&#10;AADbAAAADwAAAGRycy9kb3ducmV2LnhtbERPy4rCMBTdC/MP4Qqz09SiMlONIoLi1gfMLC/NtS1N&#10;bkqSsZ2/NwvB5eG819vBGvEgHxrHCmbTDARx6XTDlYLb9TD5AhEiskbjmBT8U4Dt5mO0xkK7ns/0&#10;uMRKpBAOBSqoY+wKKUNZk8UwdR1x4u7OW4wJ+kpqj30Kt0bmWbaUFhtODTV2tK+pbC9/VsF+MXz3&#10;7a/Jo2mb8iB/8p2fH5X6HA+7FYhIQ3yLX+6TVpCnselL+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ogpm+AAAA2wAAAA8AAAAAAAAAAAAAAAAAmAIAAGRycy9kb3ducmV2&#10;LnhtbFBLBQYAAAAABAAEAPUAAACDAwAAAAA=&#10;" fillcolor="white [3201]" strokecolor="#a5a5a5 [3206]" strokeweight="1pt">
                  <v:stroke joinstyle="miter"/>
                  <v:textbox inset="2.02597mm,1.013mm,2.02597mm,1.013mm">
                    <w:txbxContent>
                      <w:p w:rsidR="00A611AA" w:rsidRPr="00F8015A" w:rsidRDefault="00A611AA" w:rsidP="009061EE">
                        <w:pPr>
                          <w:pStyle w:val="NormalWeb"/>
                          <w:spacing w:before="0" w:beforeAutospacing="0" w:after="160" w:afterAutospacing="0" w:line="252" w:lineRule="auto"/>
                          <w:jc w:val="center"/>
                          <w:rPr>
                            <w:sz w:val="20"/>
                            <w:szCs w:val="20"/>
                          </w:rPr>
                        </w:pPr>
                        <w:r w:rsidRPr="00F8015A">
                          <w:rPr>
                            <w:rFonts w:eastAsia="Calibri"/>
                            <w:sz w:val="20"/>
                            <w:szCs w:val="20"/>
                          </w:rPr>
                          <w:t>Epargne pour les legs</w:t>
                        </w:r>
                      </w:p>
                      <w:p w:rsidR="00A611AA" w:rsidRPr="00F8015A" w:rsidRDefault="00A611AA" w:rsidP="009061EE">
                        <w:pPr>
                          <w:pStyle w:val="NormalWeb"/>
                          <w:spacing w:before="0" w:beforeAutospacing="0" w:after="160" w:afterAutospacing="0" w:line="252" w:lineRule="auto"/>
                          <w:jc w:val="center"/>
                          <w:rPr>
                            <w:sz w:val="20"/>
                            <w:szCs w:val="20"/>
                          </w:rPr>
                        </w:pPr>
                        <w:r w:rsidRPr="00F8015A">
                          <w:rPr>
                            <w:rFonts w:eastAsia="Calibri"/>
                            <w:sz w:val="20"/>
                            <w:szCs w:val="20"/>
                          </w:rPr>
                          <w:t>Altruisme intergénérationnel</w:t>
                        </w:r>
                      </w:p>
                    </w:txbxContent>
                  </v:textbox>
                </v:roundrect>
                <v:shape id="Flèche droite 29" o:spid="_x0000_s1040" type="#_x0000_t13" style="position:absolute;left:25307;top:15937;width:6174;height:534;rotation:77928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mhcMA&#10;AADbAAAADwAAAGRycy9kb3ducmV2LnhtbESPQYvCMBSE78L+h/CEvWlioWK7RtkVRG+i7mG9PZpn&#10;W2xeShO1+++NIHgcZuYbZr7sbSNu1PnasYbJWIEgLpypudTwe1yPZiB8QDbYOCYN/+RhufgYzDE3&#10;7s57uh1CKSKEfY4aqhDaXEpfVGTRj11LHL2z6yyGKLtSmg7vEW4bmSg1lRZrjgsVtrSqqLgcrlbD&#10;WibpT7pPV/3f+VKm2U6dThul9eew//4CEagP7/CrvTUakgy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WmhcMAAADbAAAADwAAAAAAAAAAAAAAAACYAgAAZHJzL2Rv&#10;d25yZXYueG1sUEsFBgAAAAAEAAQA9QAAAIgDAAAAAA==&#10;" adj="20665" filled="f" strokecolor="black [3213]" strokeweight="1pt">
                  <v:textbox inset="2.02597mm,1.013mm,2.02597mm,1.013mm"/>
                </v:shape>
                <v:roundrect id="Rectangle à coins arrondis 30" o:spid="_x0000_s1041" style="position:absolute;left:27391;top:5857;width:12516;height:7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YQr8A&#10;AADbAAAADwAAAGRycy9kb3ducmV2LnhtbERPW2vCMBR+F/YfwhnszabrdGhnFBEUX73AfDw0x7Y0&#10;OSlJZrt/bx4Ge/z47qvNaI14kA+tYwXvWQ6CuHK65VrB9bKfLkCEiKzROCYFvxRgs36ZrLDUbuAT&#10;Pc6xFimEQ4kKmhj7UspQNWQxZK4nTtzdeYsxQV9L7XFI4dbIIs8/pcWWU0ODPe0aqrrzj1Wwm4/L&#10;obuZIpqurfbyu9j62UGpt9dx+wUi0hj/xX/uo1bw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RxhCvwAAANsAAAAPAAAAAAAAAAAAAAAAAJgCAABkcnMvZG93bnJl&#10;di54bWxQSwUGAAAAAAQABAD1AAAAhAMAAAAA&#10;" fillcolor="white [3201]" strokecolor="#a5a5a5 [3206]" strokeweight="1pt">
                  <v:stroke joinstyle="miter"/>
                  <v:textbox inset="2.02597mm,1.013mm,2.02597mm,1.013mm">
                    <w:txbxContent>
                      <w:p w:rsidR="00A611AA" w:rsidRPr="00F8015A" w:rsidRDefault="00A611AA" w:rsidP="009061EE">
                        <w:pPr>
                          <w:pStyle w:val="NormalWeb"/>
                          <w:spacing w:before="0" w:beforeAutospacing="0" w:after="160" w:afterAutospacing="0" w:line="252" w:lineRule="auto"/>
                          <w:jc w:val="center"/>
                          <w:rPr>
                            <w:sz w:val="20"/>
                            <w:szCs w:val="20"/>
                          </w:rPr>
                        </w:pPr>
                        <w:r w:rsidRPr="00F8015A">
                          <w:rPr>
                            <w:rFonts w:eastAsia="Calibri"/>
                            <w:sz w:val="20"/>
                            <w:szCs w:val="20"/>
                          </w:rPr>
                          <w:t>Habitudes et imitation sociale</w:t>
                        </w:r>
                      </w:p>
                    </w:txbxContent>
                  </v:textbox>
                </v:roundrect>
                <w10:anchorlock/>
              </v:group>
            </w:pict>
          </mc:Fallback>
        </mc:AlternateContent>
      </w:r>
    </w:p>
    <w:p w:rsidR="00A3407C" w:rsidRDefault="00A3407C"/>
    <w:p w:rsidR="00767A94" w:rsidRDefault="00024D69" w:rsidP="00024D69">
      <w:pPr>
        <w:pStyle w:val="Paragraphedeliste"/>
        <w:numPr>
          <w:ilvl w:val="0"/>
          <w:numId w:val="11"/>
        </w:numPr>
      </w:pPr>
      <w:r>
        <w:t>Le choix du niveau de consommation dépend</w:t>
      </w:r>
      <w:r w:rsidR="00663863">
        <w:t xml:space="preserve"> notamment</w:t>
      </w:r>
      <w:r>
        <w:t xml:space="preserve"> du revenu courant. Chaque agent alloue une partie de son revenu à la consommation. Le reste est épargné.</w:t>
      </w:r>
      <w:r w:rsidR="00767A94">
        <w:t xml:space="preserve"> Donc : </w:t>
      </w:r>
      <m:oMath>
        <m:r>
          <w:rPr>
            <w:rFonts w:ascii="Cambria Math" w:hAnsi="Cambria Math"/>
          </w:rPr>
          <m:t>Revenu=consommation+épargne</m:t>
        </m:r>
      </m:oMath>
      <w:r w:rsidR="00767A94">
        <w:rPr>
          <w:rFonts w:eastAsiaTheme="minorEastAsia"/>
        </w:rPr>
        <w:t>.</w:t>
      </w:r>
      <w:r>
        <w:t xml:space="preserve"> La part du revenu consacrée à la consommation est appelée propension moyenne à consommer</w:t>
      </w:r>
      <w:r w:rsidR="00767A94">
        <w:t>. Elle se calcule de la façon suivante :</w:t>
      </w:r>
    </w:p>
    <w:p w:rsidR="00091EEF" w:rsidRDefault="00091EEF" w:rsidP="00091EEF"/>
    <w:p w:rsidR="00767A94" w:rsidRDefault="00767A94" w:rsidP="00767A94">
      <w:pPr>
        <w:ind w:left="360"/>
      </w:pPr>
      <m:oMathPara>
        <m:oMath>
          <m:r>
            <w:rPr>
              <w:rFonts w:ascii="Cambria Math" w:hAnsi="Cambria Math"/>
            </w:rPr>
            <m:t xml:space="preserve">PMC= </m:t>
          </m:r>
          <m:f>
            <m:fPr>
              <m:ctrlPr>
                <w:rPr>
                  <w:rFonts w:ascii="Cambria Math" w:hAnsi="Cambria Math"/>
                  <w:i/>
                </w:rPr>
              </m:ctrlPr>
            </m:fPr>
            <m:num>
              <m:r>
                <w:rPr>
                  <w:rFonts w:ascii="Cambria Math" w:hAnsi="Cambria Math"/>
                </w:rPr>
                <m:t>Dépense de consommation finale des ménages</m:t>
              </m:r>
            </m:num>
            <m:den>
              <m:r>
                <w:rPr>
                  <w:rFonts w:ascii="Cambria Math" w:hAnsi="Cambria Math"/>
                </w:rPr>
                <m:t>Revenu disponible brut des ménages</m:t>
              </m:r>
            </m:den>
          </m:f>
        </m:oMath>
      </m:oMathPara>
    </w:p>
    <w:p w:rsidR="00767A94" w:rsidRDefault="00767A94" w:rsidP="00767A94">
      <w:pPr>
        <w:ind w:left="360"/>
      </w:pPr>
    </w:p>
    <w:p w:rsidR="00A3407C" w:rsidRDefault="00767A94" w:rsidP="00767A94">
      <w:r>
        <w:t>L</w:t>
      </w:r>
      <w:r w:rsidR="00024D69">
        <w:t>a part du revenu consacrée à l’épargne est appelée propension moyenne à épargner</w:t>
      </w:r>
      <w:r>
        <w:t>, ou taux d’épargne</w:t>
      </w:r>
      <w:r w:rsidR="00024D69">
        <w:t>.</w:t>
      </w:r>
      <w:r>
        <w:t xml:space="preserve"> Elle se calcule comme suit :</w:t>
      </w:r>
    </w:p>
    <w:p w:rsidR="006176F3" w:rsidRDefault="006176F3" w:rsidP="00767A94"/>
    <w:p w:rsidR="00767A94" w:rsidRDefault="00767A94" w:rsidP="00767A94">
      <m:oMathPara>
        <m:oMath>
          <m:r>
            <w:rPr>
              <w:rFonts w:ascii="Cambria Math" w:hAnsi="Cambria Math"/>
            </w:rPr>
            <m:t xml:space="preserve">Taux d'épargne= </m:t>
          </m:r>
          <m:f>
            <m:fPr>
              <m:ctrlPr>
                <w:rPr>
                  <w:rFonts w:ascii="Cambria Math" w:hAnsi="Cambria Math"/>
                  <w:i/>
                </w:rPr>
              </m:ctrlPr>
            </m:fPr>
            <m:num>
              <m:r>
                <w:rPr>
                  <w:rFonts w:ascii="Cambria Math" w:hAnsi="Cambria Math"/>
                </w:rPr>
                <m:t>Epargne des ménages</m:t>
              </m:r>
            </m:num>
            <m:den>
              <m:r>
                <w:rPr>
                  <w:rFonts w:ascii="Cambria Math" w:hAnsi="Cambria Math"/>
                </w:rPr>
                <m:t>Revenu disponible brut des ménages</m:t>
              </m:r>
            </m:den>
          </m:f>
        </m:oMath>
      </m:oMathPara>
    </w:p>
    <w:p w:rsidR="006176F3" w:rsidRDefault="006176F3"/>
    <w:p w:rsidR="00A3407C" w:rsidRDefault="00767A94">
      <w:r>
        <w:t>Puisque le revenu est soit consommé, soit épargn</w:t>
      </w:r>
      <w:r w:rsidR="00B43FEA">
        <w:t>é</w:t>
      </w:r>
      <w:r>
        <w:t>, la somme de la propension moyenne à consommer et du taux d’épargne doit être égale à 1.</w:t>
      </w:r>
      <w:r w:rsidR="006176F3">
        <w:t xml:space="preserve"> L’INSEE fournit des estimations régulières du taux d’épargne. Il est d’environ 1</w:t>
      </w:r>
      <w:r w:rsidR="0086706B">
        <w:t>4</w:t>
      </w:r>
      <w:r w:rsidR="006176F3">
        <w:t>% en</w:t>
      </w:r>
      <w:r w:rsidR="00B43FEA">
        <w:t xml:space="preserve"> France en</w:t>
      </w:r>
      <w:r w:rsidR="006176F3">
        <w:t xml:space="preserve"> 2017. </w:t>
      </w:r>
      <w:r w:rsidR="0086706B">
        <w:t>Si l’on compare les taux d’épargne de différents pays</w:t>
      </w:r>
      <w:r w:rsidR="006176F3">
        <w:t xml:space="preserve">, </w:t>
      </w:r>
      <w:r w:rsidR="0086706B">
        <w:t>les résultats obtenus</w:t>
      </w:r>
      <w:r w:rsidR="006176F3">
        <w:t xml:space="preserve"> sont très hétérogènes.</w:t>
      </w:r>
      <w:r w:rsidR="0086706B">
        <w:t xml:space="preserve"> </w:t>
      </w:r>
    </w:p>
    <w:p w:rsidR="0086706B" w:rsidRDefault="0086706B">
      <w:r w:rsidRPr="0086706B">
        <w:rPr>
          <w:noProof/>
          <w:lang w:eastAsia="fr-FR"/>
        </w:rPr>
        <w:lastRenderedPageBreak/>
        <w:drawing>
          <wp:inline distT="0" distB="0" distL="0" distR="0" wp14:anchorId="5D618A46" wp14:editId="020284E3">
            <wp:extent cx="5760720" cy="33204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20415"/>
                    </a:xfrm>
                    <a:prstGeom prst="rect">
                      <a:avLst/>
                    </a:prstGeom>
                    <a:noFill/>
                    <a:ln>
                      <a:noFill/>
                    </a:ln>
                  </pic:spPr>
                </pic:pic>
              </a:graphicData>
            </a:graphic>
          </wp:inline>
        </w:drawing>
      </w:r>
    </w:p>
    <w:p w:rsidR="006176F3" w:rsidRDefault="006176F3"/>
    <w:p w:rsidR="0086706B" w:rsidRDefault="0086706B">
      <w:r w:rsidRPr="0086706B">
        <w:rPr>
          <w:u w:val="single"/>
        </w:rPr>
        <w:t>Source</w:t>
      </w:r>
      <w:r>
        <w:t xml:space="preserve"> : Les taux d’épargne dans la zone euro : comment les comparer, comment les expliquer ? Lino </w:t>
      </w:r>
      <w:proofErr w:type="spellStart"/>
      <w:r>
        <w:t>Galiana</w:t>
      </w:r>
      <w:proofErr w:type="spellEnd"/>
      <w:r>
        <w:t xml:space="preserve">, Quentin </w:t>
      </w:r>
      <w:proofErr w:type="spellStart"/>
      <w:r>
        <w:t>Lafféter</w:t>
      </w:r>
      <w:proofErr w:type="spellEnd"/>
      <w:r>
        <w:t xml:space="preserve"> et Olivier Simon, L’économie française, INSEE Références, édition 2017, p. 97-114</w:t>
      </w:r>
    </w:p>
    <w:p w:rsidR="0086706B" w:rsidRDefault="0086706B"/>
    <w:p w:rsidR="0063233F" w:rsidRDefault="0063233F">
      <w:r>
        <w:t>La propension marginale à consommer mesure la variation de la consommation lorsque le revenu disponible augmente d’une unité. Elle se calcule de la façon suivante :</w:t>
      </w:r>
    </w:p>
    <w:p w:rsidR="0063233F" w:rsidRDefault="0063233F"/>
    <w:p w:rsidR="0063233F" w:rsidRDefault="0063233F">
      <m:oMathPara>
        <m:oMath>
          <m:r>
            <w:rPr>
              <w:rFonts w:ascii="Cambria Math" w:hAnsi="Cambria Math"/>
            </w:rPr>
            <m:t xml:space="preserve">PmC= </m:t>
          </m:r>
          <m:f>
            <m:fPr>
              <m:ctrlPr>
                <w:rPr>
                  <w:rFonts w:ascii="Cambria Math" w:hAnsi="Cambria Math"/>
                  <w:i/>
                </w:rPr>
              </m:ctrlPr>
            </m:fPr>
            <m:num>
              <m:r>
                <w:rPr>
                  <w:rFonts w:ascii="Cambria Math" w:hAnsi="Cambria Math"/>
                </w:rPr>
                <m:t>Variation de la dépense de consommation finale des ménages</m:t>
              </m:r>
            </m:num>
            <m:den>
              <m:r>
                <w:rPr>
                  <w:rFonts w:ascii="Cambria Math" w:hAnsi="Cambria Math"/>
                </w:rPr>
                <m:t>Variation du revenu disponible brut des ménages</m:t>
              </m:r>
            </m:den>
          </m:f>
        </m:oMath>
      </m:oMathPara>
    </w:p>
    <w:p w:rsidR="0063233F" w:rsidRDefault="0063233F"/>
    <w:p w:rsidR="006F7913" w:rsidRDefault="006F7913" w:rsidP="006F7913">
      <w:pPr>
        <w:pBdr>
          <w:top w:val="single" w:sz="4" w:space="1" w:color="auto"/>
          <w:left w:val="single" w:sz="4" w:space="4" w:color="auto"/>
          <w:bottom w:val="single" w:sz="4" w:space="1" w:color="auto"/>
          <w:right w:val="single" w:sz="4" w:space="4" w:color="auto"/>
        </w:pBdr>
      </w:pPr>
      <w:r w:rsidRPr="006F7913">
        <w:rPr>
          <w:u w:val="single"/>
        </w:rPr>
        <w:t>Ressource disponible</w:t>
      </w:r>
      <w:r>
        <w:t> :</w:t>
      </w:r>
    </w:p>
    <w:p w:rsidR="006F7913" w:rsidRDefault="006F7913" w:rsidP="006F7913">
      <w:pPr>
        <w:pBdr>
          <w:top w:val="single" w:sz="4" w:space="1" w:color="auto"/>
          <w:left w:val="single" w:sz="4" w:space="4" w:color="auto"/>
          <w:bottom w:val="single" w:sz="4" w:space="1" w:color="auto"/>
          <w:right w:val="single" w:sz="4" w:space="4" w:color="auto"/>
        </w:pBdr>
      </w:pPr>
    </w:p>
    <w:p w:rsidR="006F7913" w:rsidRDefault="0074706C" w:rsidP="006F7913">
      <w:pPr>
        <w:pBdr>
          <w:top w:val="single" w:sz="4" w:space="1" w:color="auto"/>
          <w:left w:val="single" w:sz="4" w:space="4" w:color="auto"/>
          <w:bottom w:val="single" w:sz="4" w:space="1" w:color="auto"/>
          <w:right w:val="single" w:sz="4" w:space="4" w:color="auto"/>
        </w:pBdr>
      </w:pPr>
      <w:hyperlink r:id="rId10" w:history="1">
        <w:r w:rsidR="006F7913">
          <w:rPr>
            <w:rStyle w:val="Lienhypertexte"/>
          </w:rPr>
          <w:t>https://cache.media.eduscol.education.fr/file/Droit_et_economie/60/7/RA19_Lycee_T_STMG_1_DroitEco_propensionConsommerEpargner_1162607.pdf</w:t>
        </w:r>
      </w:hyperlink>
    </w:p>
    <w:p w:rsidR="006F7913" w:rsidRDefault="006F7913"/>
    <w:p w:rsidR="006F7913" w:rsidRDefault="006F7913"/>
    <w:p w:rsidR="0063233F" w:rsidRDefault="0063233F">
      <w:r>
        <w:t>Le calcul de cette propension marginale à consommer est essentielle pour évaluer l’efficacité des politiques économiques, comme cela sera montré précisément dans le thème 6 de terminale. Intuitivement, si l’Etat augmente le revenu disponible des ménages (baisse des prélèvements obligatoires, hausse des prestations sociales…), il souhaite que cela se traduise par une hausse de la demande, et donc des débouchés pour les entreprises (baisse du chômage). Ceci ne fonctionne que si la propension marginale à consommer (donc à dépenser) est suffisamment élevée.</w:t>
      </w:r>
    </w:p>
    <w:p w:rsidR="0063233F" w:rsidRDefault="0063233F"/>
    <w:p w:rsidR="00A3407C" w:rsidRDefault="00DD5726" w:rsidP="00CB5E67">
      <w:pPr>
        <w:pStyle w:val="Paragraphedeliste"/>
        <w:numPr>
          <w:ilvl w:val="0"/>
          <w:numId w:val="11"/>
        </w:numPr>
      </w:pPr>
      <w:r>
        <w:t>La consommation des ménages est également influencée par le</w:t>
      </w:r>
      <w:r w:rsidR="00CB5E67">
        <w:t xml:space="preserve">urs habitudes de consommation (effet de cliquet, effet de formation d’habitude). Par ailleurs, la consommation </w:t>
      </w:r>
      <w:r w:rsidR="00655A40">
        <w:t>dépend</w:t>
      </w:r>
      <w:r w:rsidR="00CB5E67">
        <w:t xml:space="preserve"> aussi de ce que les individus considèrent être la norme sociale de consommation. Par un effet de démonstration, les agents ajustent leur niveau de consommation pour montrer qu’ils appartiennent à un groupe social.</w:t>
      </w:r>
    </w:p>
    <w:p w:rsidR="00B43FEA" w:rsidRDefault="00B43FEA" w:rsidP="00B43FEA"/>
    <w:p w:rsidR="00B43FEA" w:rsidRDefault="00B43FEA" w:rsidP="00CB5E67">
      <w:pPr>
        <w:pStyle w:val="Paragraphedeliste"/>
        <w:numPr>
          <w:ilvl w:val="0"/>
          <w:numId w:val="11"/>
        </w:numPr>
      </w:pPr>
      <w:r>
        <w:t xml:space="preserve">Les agents épargnent aussi pour lisser leur consommation. Ils vont par exemple épargner lorsque leur revenu est plus élevé, et utiliser les fruits de cette épargne lorsque leur revenu </w:t>
      </w:r>
      <w:r>
        <w:lastRenderedPageBreak/>
        <w:t>est plus faible. Le comportement d’épargne dépend alors de tous les revenus à venir</w:t>
      </w:r>
      <w:r w:rsidR="00C32AF2">
        <w:t>. Si un individu estime que ses revenus seront très élevés à l’avenir, il consomme plus dès aujourd’hui, quitte à emprunter si nécessaire. Ses revenus élevés lui permettront de rembourser aisément les crédits contractés.</w:t>
      </w:r>
      <w:r>
        <w:t xml:space="preserve"> </w:t>
      </w:r>
      <w:r w:rsidR="00C32AF2">
        <w:t>Mais l’épargne dépend également du rendement de celle-ci</w:t>
      </w:r>
      <w:r>
        <w:t xml:space="preserve">, approximé par le taux d’intérêt. </w:t>
      </w:r>
      <w:r w:rsidR="00C32AF2">
        <w:t>Un taux d’intérêt élevé incitera les agents à capacité de financement à épargner plus, et réduira le volume des emprunts.</w:t>
      </w:r>
    </w:p>
    <w:p w:rsidR="00CB5E67" w:rsidRDefault="00CB5E67" w:rsidP="00CB5E67"/>
    <w:p w:rsidR="00CB5E67" w:rsidRDefault="00CB5E67" w:rsidP="00CB5E67">
      <w:pPr>
        <w:pStyle w:val="Paragraphedeliste"/>
        <w:numPr>
          <w:ilvl w:val="0"/>
          <w:numId w:val="11"/>
        </w:numPr>
      </w:pPr>
      <w:r>
        <w:t xml:space="preserve">L’âge des individus détermine leur comportement </w:t>
      </w:r>
      <w:r w:rsidRPr="006A52D6">
        <w:t xml:space="preserve">d’épargne. On peut notamment considérer que les ménages </w:t>
      </w:r>
      <w:r w:rsidR="002374E0" w:rsidRPr="006A52D6">
        <w:t xml:space="preserve">empruntent lorsqu’ils sont jeunes, épargnent lorsqu’ils </w:t>
      </w:r>
      <w:r w:rsidR="006A52D6" w:rsidRPr="006A52D6">
        <w:t xml:space="preserve">sont </w:t>
      </w:r>
      <w:r w:rsidR="002374E0" w:rsidRPr="006A52D6">
        <w:t xml:space="preserve">en activité, puis désépargnent une fois à la retraite. Ainsi, plus il y a </w:t>
      </w:r>
      <w:r w:rsidR="00663863" w:rsidRPr="006A52D6">
        <w:t>d’actifs</w:t>
      </w:r>
      <w:r w:rsidR="002374E0" w:rsidRPr="006A52D6">
        <w:t>, plus l’épargne nationale sera importante. Inversement, si la population est très âgée, l’épargne sera plus faible car les retraités désépargnent. Dans cette perspective, ce sont les</w:t>
      </w:r>
      <w:r w:rsidR="002374E0">
        <w:t xml:space="preserve"> caractéristiques démographiques qui déterminent l’épargne nationale.</w:t>
      </w:r>
    </w:p>
    <w:p w:rsidR="00091EEF" w:rsidRDefault="00091EEF" w:rsidP="00091EEF">
      <w:pPr>
        <w:pStyle w:val="Paragraphedeliste"/>
      </w:pPr>
    </w:p>
    <w:p w:rsidR="00091EEF" w:rsidRDefault="00091EEF" w:rsidP="00CB5E67">
      <w:pPr>
        <w:pStyle w:val="Paragraphedeliste"/>
        <w:numPr>
          <w:ilvl w:val="0"/>
          <w:numId w:val="11"/>
        </w:numPr>
      </w:pPr>
      <w:r>
        <w:t xml:space="preserve">Les ménages peuvent également épargner afin de léguer tout ou partie de leur patrimoine à leurs enfants. Les économistes </w:t>
      </w:r>
      <w:r w:rsidRPr="006A52D6">
        <w:t>par</w:t>
      </w:r>
      <w:r w:rsidR="006A52D6" w:rsidRPr="006A52D6">
        <w:t>l</w:t>
      </w:r>
      <w:r w:rsidRPr="006A52D6">
        <w:t>ent ici d’ « approche</w:t>
      </w:r>
      <w:r>
        <w:t xml:space="preserve"> dynastique » car les agents raisonnent en intégrant le bien-être de leurs enfants.</w:t>
      </w:r>
    </w:p>
    <w:p w:rsidR="002374E0" w:rsidRDefault="002374E0" w:rsidP="002374E0">
      <w:pPr>
        <w:pStyle w:val="Paragraphedeliste"/>
      </w:pPr>
    </w:p>
    <w:p w:rsidR="002374E0" w:rsidRDefault="002374E0" w:rsidP="00CB5E67">
      <w:pPr>
        <w:pStyle w:val="Paragraphedeliste"/>
        <w:numPr>
          <w:ilvl w:val="0"/>
          <w:numId w:val="11"/>
        </w:numPr>
      </w:pPr>
      <w:r>
        <w:t>En situation d’incertitude, l’épargne peut être plus élevée</w:t>
      </w:r>
      <w:r w:rsidR="00091EEF">
        <w:t xml:space="preserve"> soit parce que le niveau d’emprunt des ménages diminue, soit parce qu’ils épargnent plus pour faire face à d’éventuelles baisses de </w:t>
      </w:r>
      <w:r w:rsidR="00091EEF" w:rsidRPr="00A968A4">
        <w:t>revenu</w:t>
      </w:r>
      <w:r w:rsidR="00091EEF">
        <w:t xml:space="preserve"> ou hausses de dépenses à venir. En période de crise, l’épargne peut donc augmenter, ce qui accentue les</w:t>
      </w:r>
      <w:r w:rsidR="006A52D6">
        <w:t xml:space="preserve"> </w:t>
      </w:r>
      <w:proofErr w:type="spellStart"/>
      <w:r w:rsidR="006A52D6">
        <w:t>difficultés</w:t>
      </w:r>
      <w:r w:rsidR="00091EEF">
        <w:t>de</w:t>
      </w:r>
      <w:proofErr w:type="spellEnd"/>
      <w:r w:rsidR="00091EEF">
        <w:t xml:space="preserve"> débouchés des entreprises.</w:t>
      </w:r>
    </w:p>
    <w:p w:rsidR="00091EEF" w:rsidRDefault="00091EEF" w:rsidP="00B43FEA"/>
    <w:p w:rsidR="005422FA" w:rsidRDefault="00C32AF2">
      <w:r>
        <w:t xml:space="preserve">Un agent accumule du patrimoine s’il bénéficie d’un legs ou s’il épargne. Mais </w:t>
      </w:r>
      <w:r w:rsidR="00743AAF">
        <w:t>le rendement du patrimoine influence aussi ce processus d’accumulation. Par exemple, une hausse du prix des actifs financiers augmente la valeur du patrimoine des ménages.</w:t>
      </w:r>
      <w:r w:rsidR="00C5693A">
        <w:t xml:space="preserve"> </w:t>
      </w:r>
    </w:p>
    <w:p w:rsidR="00C5693A" w:rsidRDefault="00C5693A" w:rsidP="00CB56FE">
      <w:pPr>
        <w:jc w:val="center"/>
      </w:pPr>
    </w:p>
    <w:p w:rsidR="00C5693A" w:rsidRDefault="00C5693A" w:rsidP="00CB56FE">
      <w:pPr>
        <w:jc w:val="center"/>
      </w:pPr>
      <w:r>
        <w:rPr>
          <w:noProof/>
          <w:lang w:eastAsia="fr-FR"/>
        </w:rPr>
        <mc:AlternateContent>
          <mc:Choice Requires="wpc">
            <w:drawing>
              <wp:inline distT="0" distB="0" distL="0" distR="0" wp14:anchorId="35B0A9B2" wp14:editId="556AD21B">
                <wp:extent cx="5460365" cy="4198634"/>
                <wp:effectExtent l="0" t="0" r="26035" b="0"/>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Ellipse 5"/>
                        <wps:cNvSpPr/>
                        <wps:spPr>
                          <a:xfrm>
                            <a:off x="2146267" y="1719152"/>
                            <a:ext cx="1276350" cy="596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C5693A">
                              <w:pPr>
                                <w:jc w:val="center"/>
                              </w:pPr>
                              <w:r>
                                <w:t>Epargne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22"/>
                        <wps:cNvSpPr/>
                        <wps:spPr>
                          <a:xfrm>
                            <a:off x="2093399" y="679569"/>
                            <a:ext cx="127635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C5693A">
                              <w:pPr>
                                <w:jc w:val="center"/>
                                <w:rPr>
                                  <w:sz w:val="24"/>
                                  <w:szCs w:val="24"/>
                                </w:rPr>
                              </w:pPr>
                              <w:r>
                                <w:rPr>
                                  <w:rFonts w:eastAsia="Calibri"/>
                                </w:rPr>
                                <w:t>Revenus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3716950" y="1701919"/>
                            <a:ext cx="1553550" cy="596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1A4F22">
                              <w:pPr>
                                <w:jc w:val="center"/>
                                <w:rPr>
                                  <w:sz w:val="24"/>
                                  <w:szCs w:val="24"/>
                                </w:rPr>
                              </w:pPr>
                              <w:r>
                                <w:rPr>
                                  <w:rFonts w:eastAsia="Calibri"/>
                                </w:rPr>
                                <w:t>Consommation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Ellipse 37"/>
                        <wps:cNvSpPr/>
                        <wps:spPr>
                          <a:xfrm>
                            <a:off x="1979440" y="2590919"/>
                            <a:ext cx="1557950" cy="596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1A4F22">
                              <w:pPr>
                                <w:jc w:val="center"/>
                                <w:rPr>
                                  <w:sz w:val="24"/>
                                  <w:szCs w:val="24"/>
                                </w:rPr>
                              </w:pPr>
                              <w:r>
                                <w:rPr>
                                  <w:rFonts w:eastAsia="Calibri"/>
                                </w:rPr>
                                <w:t>Accumulation du patrimoine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Ellipse 38"/>
                        <wps:cNvSpPr/>
                        <wps:spPr>
                          <a:xfrm>
                            <a:off x="201099" y="730368"/>
                            <a:ext cx="1276350" cy="596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1A4F22">
                              <w:pPr>
                                <w:jc w:val="center"/>
                                <w:rPr>
                                  <w:sz w:val="24"/>
                                  <w:szCs w:val="24"/>
                                </w:rPr>
                              </w:pPr>
                              <w:r>
                                <w:rPr>
                                  <w:rFonts w:eastAsia="Calibri"/>
                                </w:rPr>
                                <w:t>Revenus du patrimoine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èche : bas 11"/>
                        <wps:cNvSpPr/>
                        <wps:spPr>
                          <a:xfrm>
                            <a:off x="2701328" y="1327268"/>
                            <a:ext cx="108642" cy="4018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èche : bas 12"/>
                        <wps:cNvSpPr/>
                        <wps:spPr>
                          <a:xfrm rot="17803058">
                            <a:off x="3462152" y="1026701"/>
                            <a:ext cx="102987" cy="10243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èche : bas 14"/>
                        <wps:cNvSpPr/>
                        <wps:spPr>
                          <a:xfrm>
                            <a:off x="2701328" y="2325980"/>
                            <a:ext cx="109093" cy="2649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èche : angle droit 15"/>
                        <wps:cNvSpPr/>
                        <wps:spPr>
                          <a:xfrm flipH="1">
                            <a:off x="666750" y="1327268"/>
                            <a:ext cx="1312688" cy="1632580"/>
                          </a:xfrm>
                          <a:prstGeom prst="bentUpArrow">
                            <a:avLst>
                              <a:gd name="adj1" fmla="val 3762"/>
                              <a:gd name="adj2" fmla="val 5260"/>
                              <a:gd name="adj3" fmla="val 878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 coins arrondis 20"/>
                        <wps:cNvSpPr/>
                        <wps:spPr>
                          <a:xfrm>
                            <a:off x="2285400" y="3484948"/>
                            <a:ext cx="1085983" cy="6786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E24711">
                              <w:pPr>
                                <w:jc w:val="center"/>
                              </w:pPr>
                              <w:r>
                                <w:t>Modification de la valeur du patrimoine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èche : courbe vers la gauche 41"/>
                        <wps:cNvSpPr/>
                        <wps:spPr>
                          <a:xfrm flipV="1">
                            <a:off x="3386430" y="3009640"/>
                            <a:ext cx="317304" cy="89629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èche : courbe vers la gauche 42"/>
                        <wps:cNvSpPr/>
                        <wps:spPr>
                          <a:xfrm flipH="1">
                            <a:off x="1961248" y="3140917"/>
                            <a:ext cx="324152" cy="841583"/>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Ellipse 44"/>
                        <wps:cNvSpPr/>
                        <wps:spPr>
                          <a:xfrm>
                            <a:off x="4453542" y="2579506"/>
                            <a:ext cx="1007450" cy="596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E24711">
                              <w:pPr>
                                <w:jc w:val="center"/>
                                <w:rPr>
                                  <w:sz w:val="24"/>
                                  <w:szCs w:val="24"/>
                                </w:rPr>
                              </w:pPr>
                              <w:r>
                                <w:rPr>
                                  <w:rFonts w:eastAsia="Calibri"/>
                                </w:rPr>
                                <w:t>Legs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Flèche : gauche 45"/>
                        <wps:cNvSpPr/>
                        <wps:spPr>
                          <a:xfrm>
                            <a:off x="3537390" y="2870948"/>
                            <a:ext cx="916152" cy="88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èche : droite 46"/>
                        <wps:cNvSpPr/>
                        <wps:spPr>
                          <a:xfrm>
                            <a:off x="1477449" y="982671"/>
                            <a:ext cx="614755" cy="82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354751" y="621"/>
                            <a:ext cx="2544150" cy="435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11AA" w:rsidRDefault="00A611AA" w:rsidP="002A2717">
                              <w:pPr>
                                <w:jc w:val="center"/>
                                <w:rPr>
                                  <w:sz w:val="24"/>
                                  <w:szCs w:val="24"/>
                                </w:rPr>
                              </w:pPr>
                              <w:r>
                                <w:rPr>
                                  <w:rFonts w:eastAsia="Calibri"/>
                                  <w:sz w:val="20"/>
                                  <w:szCs w:val="20"/>
                                </w:rPr>
                                <w:t>Schéma 2 : l’accumulation du patrimoine</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c:wpc>
                  </a:graphicData>
                </a:graphic>
              </wp:inline>
            </w:drawing>
          </mc:Choice>
          <mc:Fallback>
            <w:pict>
              <v:group id="Zone de dessin 3" o:spid="_x0000_s1042" editas="canvas" style="width:429.95pt;height:330.6pt;mso-position-horizontal-relative:char;mso-position-vertical-relative:line" coordsize="54603,4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">
                <v:shape id="_x0000_s1043" type="#_x0000_t75" style="position:absolute;width:54603;height:41986;visibility:visible;mso-wrap-style:square">
                  <v:fill o:detectmouseclick="t"/>
                  <v:path o:connecttype="none"/>
                </v:shape>
                <v:oval id="Ellipse 5" o:spid="_x0000_s1044" style="position:absolute;left:21462;top:17191;width:12764;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tz8IA&#10;AADaAAAADwAAAGRycy9kb3ducmV2LnhtbESPQWvCQBSE7wX/w/KE3urG0pYYXUUKAS300Bjvj+wz&#10;Wcy+DdlVo7/eLQgeh5n5hlmsBtuKM/XeOFYwnSQgiCunDdcKyl3+loLwAVlj65gUXMnDajl6WWCm&#10;3YX/6FyEWkQI+wwVNCF0mZS+asiin7iOOHoH11sMUfa11D1eIty28j1JvqRFw3GhwY6+G6qOxckq&#10;uG3y0oTTrEiT8uf4+7HNnTR7pV7Hw3oOItAQnuFHe6MVf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W3PwgAAANoAAAAPAAAAAAAAAAAAAAAAAJgCAABkcnMvZG93&#10;bnJldi54bWxQSwUGAAAAAAQABAD1AAAAhwMAAAAA&#10;" fillcolor="#4472c4 [3204]" strokecolor="#1f3763 [1604]" strokeweight="1pt">
                  <v:stroke joinstyle="miter"/>
                  <v:textbox>
                    <w:txbxContent>
                      <w:p w:rsidR="00A611AA" w:rsidRDefault="00A611AA" w:rsidP="00C5693A">
                        <w:pPr>
                          <w:jc w:val="center"/>
                        </w:pPr>
                        <w:r>
                          <w:t>Epargne</w:t>
                        </w:r>
                      </w:p>
                    </w:txbxContent>
                  </v:textbox>
                </v:oval>
                <v:oval id="Ellipse 22" o:spid="_x0000_s1045" style="position:absolute;left:20933;top:6795;width:1276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E+8MA&#10;AADbAAAADwAAAGRycy9kb3ducmV2LnhtbESPQWvCQBSE74X+h+UVvNWNQUSjq0ghYAseGuP9kX0m&#10;i9m3Ibtq9Nd3BaHHYWa+YVabwbbiSr03jhVMxgkI4sppw7WC8pB/zkH4gKyxdUwK7uRhs35/W2Gm&#10;3Y1/6VqEWkQI+wwVNCF0mZS+asiiH7uOOHon11sMUfa11D3eIty2Mk2SmbRoOC402NFXQ9W5uFgF&#10;j11emnBZFPOk/Dnvp9+5k+ao1Ohj2C5BBBrCf/jV3mkFaQr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E+8MAAADbAAAADwAAAAAAAAAAAAAAAACYAgAAZHJzL2Rv&#10;d25yZXYueG1sUEsFBgAAAAAEAAQA9QAAAIgDAAAAAA==&#10;" fillcolor="#4472c4 [3204]" strokecolor="#1f3763 [1604]" strokeweight="1pt">
                  <v:stroke joinstyle="miter"/>
                  <v:textbox>
                    <w:txbxContent>
                      <w:p w:rsidR="00A611AA" w:rsidRDefault="00A611AA" w:rsidP="00C5693A">
                        <w:pPr>
                          <w:jc w:val="center"/>
                          <w:rPr>
                            <w:sz w:val="24"/>
                            <w:szCs w:val="24"/>
                          </w:rPr>
                        </w:pPr>
                        <w:r>
                          <w:rPr>
                            <w:rFonts w:eastAsia="Calibri"/>
                          </w:rPr>
                          <w:t>Revenus</w:t>
                        </w:r>
                      </w:p>
                    </w:txbxContent>
                  </v:textbox>
                </v:oval>
                <v:oval id="Ellipse 27" o:spid="_x0000_s1046" style="position:absolute;left:37169;top:17019;width:15536;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nY8MA&#10;AADbAAAADwAAAGRycy9kb3ducmV2LnhtbESPQWvCQBSE7wX/w/IEb3VTEWtTVxEhoIKHxnh/ZF+T&#10;xezbkF019td3BcHjMDPfMItVbxtxpc4bxwo+xgkI4tJpw5WC4pi9z0H4gKyxcUwK7uRhtRy8LTDV&#10;7sY/dM1DJSKEfYoK6hDaVEpf1mTRj11LHL1f11kMUXaV1B3eItw2cpIkM2nRcFyosaVNTeU5v1gF&#10;f9usMOHylc+TYn8+THeZk+ak1GjYr79BBOrDK/xsb7WCySc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6nY8MAAADbAAAADwAAAAAAAAAAAAAAAACYAgAAZHJzL2Rv&#10;d25yZXYueG1sUEsFBgAAAAAEAAQA9QAAAIgDAAAAAA==&#10;" fillcolor="#4472c4 [3204]" strokecolor="#1f3763 [1604]" strokeweight="1pt">
                  <v:stroke joinstyle="miter"/>
                  <v:textbox>
                    <w:txbxContent>
                      <w:p w:rsidR="00A611AA" w:rsidRDefault="00A611AA" w:rsidP="001A4F22">
                        <w:pPr>
                          <w:jc w:val="center"/>
                          <w:rPr>
                            <w:sz w:val="24"/>
                            <w:szCs w:val="24"/>
                          </w:rPr>
                        </w:pPr>
                        <w:r>
                          <w:rPr>
                            <w:rFonts w:eastAsia="Calibri"/>
                          </w:rPr>
                          <w:t>Consommation</w:t>
                        </w:r>
                      </w:p>
                    </w:txbxContent>
                  </v:textbox>
                </v:oval>
                <v:oval id="Ellipse 37" o:spid="_x0000_s1047" style="position:absolute;left:19794;top:25909;width:15579;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xvsQA&#10;AADbAAAADwAAAGRycy9kb3ducmV2LnhtbESPQWvCQBSE74L/YXlCb7qxLWpjVimFgC14ME3vj+xr&#10;siT7NmRXTfvruwXB4zAz3zDZfrSduNDgjWMFy0UCgrhy2nCtoPzM5xsQPiBr7ByTgh/ysN9NJxmm&#10;2l35RJci1CJC2KeooAmhT6X0VUMW/cL1xNH7doPFEOVQSz3gNcJtJx+TZCUtGo4LDfb01lDVFmer&#10;4PeQlyacX4pNUn60x+f33EnzpdTDbHzdggg0hnv41j5oBU9r+P8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XMb7EAAAA2wAAAA8AAAAAAAAAAAAAAAAAmAIAAGRycy9k&#10;b3ducmV2LnhtbFBLBQYAAAAABAAEAPUAAACJAwAAAAA=&#10;" fillcolor="#4472c4 [3204]" strokecolor="#1f3763 [1604]" strokeweight="1pt">
                  <v:stroke joinstyle="miter"/>
                  <v:textbox>
                    <w:txbxContent>
                      <w:p w:rsidR="00A611AA" w:rsidRDefault="00A611AA" w:rsidP="001A4F22">
                        <w:pPr>
                          <w:jc w:val="center"/>
                          <w:rPr>
                            <w:sz w:val="24"/>
                            <w:szCs w:val="24"/>
                          </w:rPr>
                        </w:pPr>
                        <w:r>
                          <w:rPr>
                            <w:rFonts w:eastAsia="Calibri"/>
                          </w:rPr>
                          <w:t>Accumulation du patrimoine</w:t>
                        </w:r>
                      </w:p>
                    </w:txbxContent>
                  </v:textbox>
                </v:oval>
                <v:oval id="Ellipse 38" o:spid="_x0000_s1048" style="position:absolute;left:2010;top:7303;width:12764;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lzMEA&#10;AADbAAAADwAAAGRycy9kb3ducmV2LnhtbERPz2vCMBS+D/wfwhO8ranbGLUaRYSCG+ywrrs/mmcT&#10;bF5KE7Xur18Ogx0/vt+b3eR6caUxWM8KllkOgrj12nKnoPmqHgsQISJr7D2TgjsF2G1nDxsstb/x&#10;J13r2IkUwqFEBSbGoZQytIYchswPxIk7+dFhTHDspB7xlsJdL5/y/FU6tJwaDA50MNSe64tT8HOs&#10;Ghsvq7rIm/fzx8tb5aX9Vmoxn/ZrEJGm+C/+cx+1gu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IpczBAAAA2wAAAA8AAAAAAAAAAAAAAAAAmAIAAGRycy9kb3du&#10;cmV2LnhtbFBLBQYAAAAABAAEAPUAAACGAwAAAAA=&#10;" fillcolor="#4472c4 [3204]" strokecolor="#1f3763 [1604]" strokeweight="1pt">
                  <v:stroke joinstyle="miter"/>
                  <v:textbox>
                    <w:txbxContent>
                      <w:p w:rsidR="00A611AA" w:rsidRDefault="00A611AA" w:rsidP="001A4F22">
                        <w:pPr>
                          <w:jc w:val="center"/>
                          <w:rPr>
                            <w:sz w:val="24"/>
                            <w:szCs w:val="24"/>
                          </w:rPr>
                        </w:pPr>
                        <w:r>
                          <w:rPr>
                            <w:rFonts w:eastAsia="Calibri"/>
                          </w:rPr>
                          <w:t>Revenus du patrimoine</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1" o:spid="_x0000_s1049" type="#_x0000_t67" style="position:absolute;left:27013;top:13272;width:1086;height:4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lDb8A&#10;AADbAAAADwAAAGRycy9kb3ducmV2LnhtbERPTYvCMBC9C/sfwizsTVM9LFKNossqHryodc9DMtsW&#10;m0lpUtv+eyMI3ubxPme57m0l7tT40rGC6SQBQaydKTlXkF124zkIH5ANVo5JwUAe1quP0RJT4zo+&#10;0f0cchFD2KeooAihTqX0uiCLfuJq4sj9u8ZiiLDJpWmwi+G2krMk+ZYWS44NBdb0U5C+nVurQPvr&#10;/u83G4bO1l27vbWaruVRqa/PfrMAEagPb/HLfTBx/hSev8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8iUNvwAAANsAAAAPAAAAAAAAAAAAAAAAAJgCAABkcnMvZG93bnJl&#10;di54bWxQSwUGAAAAAAQABAD1AAAAhAMAAAAA&#10;" adj="18680" fillcolor="#4472c4 [3204]" strokecolor="#1f3763 [1604]" strokeweight="1pt"/>
                <v:shape id="Flèche : bas 12" o:spid="_x0000_s1050" type="#_x0000_t67" style="position:absolute;left:34621;top:10266;width:1030;height:10244;rotation:-41472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r8cMA&#10;AADbAAAADwAAAGRycy9kb3ducmV2LnhtbERPS2sCMRC+F/wPYYTeataVFlmNIpZK6UXq4+Bt3Mw+&#10;cDNZkqhrf30jCN7m43vOdN6ZRlzI+dqyguEgAUGcW11zqWC3/Xobg/ABWWNjmRTcyMN81nuZYqbt&#10;lX/psgmliCHsM1RQhdBmUvq8IoN+YFviyBXWGQwRulJqh9cYbhqZJsmHNFhzbKiwpWVF+WlzNgq2&#10;+9FP8Wfdbr0oytv5OE7fPw8rpV773WICIlAXnuKH+1vH+Sncf4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vr8cMAAADbAAAADwAAAAAAAAAAAAAAAACYAgAAZHJzL2Rv&#10;d25yZXYueG1sUEsFBgAAAAAEAAQA9QAAAIgDAAAAAA==&#10;" adj="20514" fillcolor="#4472c4 [3204]" strokecolor="#1f3763 [1604]" strokeweight="1pt"/>
                <v:shape id="Flèche : bas 14" o:spid="_x0000_s1051" type="#_x0000_t67" style="position:absolute;left:27013;top:23259;width:1091;height:2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h574A&#10;AADbAAAADwAAAGRycy9kb3ducmV2LnhtbERPzWoCMRC+F3yHMAVvNWsRsVujiEXw4MXYBxg2001w&#10;M9kmqW7f3giCt/n4fme5HnwnLhSTC6xgOqlAEDfBOG4VfJ92bwsQKSMb7AKTgn9KsF6NXpZYm3Dl&#10;I110bkUJ4VSjAptzX0uZGkse0yT0xIX7CdFjLjC20kS8lnDfyfeqmkuPjkuDxZ62lpqz/vMKzi5O&#10;D4e80x9Ofv1aM9NxY7VS49dh8wki05Cf4od7b8r8Gdx/KQfI1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oee+AAAA2wAAAA8AAAAAAAAAAAAAAAAAmAIAAGRycy9kb3ducmV2&#10;LnhtbFBLBQYAAAAABAAEAPUAAACDAwAAAAA=&#10;" adj="17153" fillcolor="#4472c4 [3204]" strokecolor="#1f3763 [1604]" strokeweight="1pt"/>
                <v:shape id="Flèche : angle droit 15" o:spid="_x0000_s1052" style="position:absolute;left:6667;top:13272;width:13127;height:16326;flip:x;visibility:visible;mso-wrap-style:square;v-text-anchor:middle" coordsize="1312688,163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wjMIA&#10;AADbAAAADwAAAGRycy9kb3ducmV2LnhtbERPS2vCQBC+C/0Pywi96UahWqOrSEEsejK24HHMTh6a&#10;nQ3ZbYz/3hWE3ubje85i1ZlKtNS40rKC0TACQZxaXXKu4Oe4GXyCcB5ZY2WZFNzJwWr51ltgrO2N&#10;D9QmPhchhF2MCgrv61hKlxZk0A1tTRy4zDYGfYBNLnWDtxBuKjmOook0WHJoKLCmr4LSa/JnFFTb&#10;02m9P7fZbrbJksu0/T3K+0ip9363noPw1Pl/8cv9rcP8D3j+E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MwgAAANsAAAAPAAAAAAAAAAAAAAAAAJgCAABkcnMvZG93&#10;bnJldi54bWxQSwUGAAAAAAQABAD1AAAAhwMAAAAA&#10;" path="m,1583197r1218949,l1218949,115293r-44356,l1243641,r69047,115293l1268332,115293r,1517287l,1632580r,-49383xe" fillcolor="#4472c4 [3204]" strokecolor="#1f3763 [1604]" strokeweight="1pt">
                  <v:stroke joinstyle="miter"/>
                  <v:path arrowok="t" o:connecttype="custom" o:connectlocs="0,1583197;1218949,1583197;1218949,115293;1174593,115293;1243641,0;1312688,115293;1268332,115293;1268332,1632580;0,1632580;0,1583197" o:connectangles="0,0,0,0,0,0,0,0,0,0"/>
                </v:shape>
                <v:roundrect id="Rectangle : coins arrondis 20" o:spid="_x0000_s1053" style="position:absolute;left:22854;top:34849;width:10859;height:67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ugsAA&#10;AADbAAAADwAAAGRycy9kb3ducmV2LnhtbERPy2oCMRTdF/yHcAV3NaOlIqNRfCAIXXXajbvr5DoZ&#10;ndwMSarp3zeLgsvDeS/XyXbiTj60jhVMxgUI4trplhsF31+H1zmIEJE1do5JwS8FWK8GL0sstXvw&#10;J92r2IgcwqFEBSbGvpQy1IYshrHriTN3cd5izNA3Unt85HDbyWlRzKTFlnODwZ52hupb9WMVWP2W&#10;9lfcnOgwr7an9/Sx9+as1GiYNgsQkVJ8iv/dR61gm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FugsAAAADbAAAADwAAAAAAAAAAAAAAAACYAgAAZHJzL2Rvd25y&#10;ZXYueG1sUEsFBgAAAAAEAAQA9QAAAIUDAAAAAA==&#10;" fillcolor="#4472c4 [3204]" strokecolor="#1f3763 [1604]" strokeweight="1pt">
                  <v:stroke joinstyle="miter"/>
                  <v:textbox>
                    <w:txbxContent>
                      <w:p w:rsidR="00A611AA" w:rsidRDefault="00A611AA" w:rsidP="00E24711">
                        <w:pPr>
                          <w:jc w:val="center"/>
                        </w:pPr>
                        <w:r>
                          <w:t>Modification de la valeur du patrimoine</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 courbe vers la gauche 41" o:spid="_x0000_s1054" type="#_x0000_t103" style="position:absolute;left:33864;top:30096;width:3173;height:89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ICcQA&#10;AADbAAAADwAAAGRycy9kb3ducmV2LnhtbESPzWrDMBCE74W8g9hCbrUcE4rrRAklEMghBddtyXWR&#10;Nv6JtTKWkrhvXxUKPQ4z8w2z3k62FzcafetYwSJJQRBrZ1quFXx+7J9yED4gG+wdk4Jv8rDdzB7W&#10;WBh353e6VaEWEcK+QAVNCEMhpdcNWfSJG4ijd3ajxRDlWEsz4j3CbS+zNH2WFluOCw0OtGtIX6qr&#10;VfCV7aq8Oy2PqS5f8uyt7ErSnVLzx+l1BSLQFP7Df+2DUbBc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iAnEAAAA2wAAAA8AAAAAAAAAAAAAAAAAmAIAAGRycy9k&#10;b3ducmV2LnhtbFBLBQYAAAAABAAEAPUAAACJAwAAAAA=&#10;" adj="17777,20644,5400" fillcolor="#4472c4 [3204]" strokecolor="#1f3763 [1604]" strokeweight="1pt"/>
                <v:shape id="Flèche : courbe vers la gauche 42" o:spid="_x0000_s1055" type="#_x0000_t103" style="position:absolute;left:19612;top:31409;width:3242;height:841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xn8QA&#10;AADbAAAADwAAAGRycy9kb3ducmV2LnhtbESP0WrCQBRE3wv+w3IFX4rZKG2QmFXEIgqltBo/4JK9&#10;JsHs3ZDdJvHvu4VCH4eZOcNk29E0oqfO1ZYVLKIYBHFhdc2lgmt+mK9AOI+ssbFMCh7kYLuZPGWY&#10;ajvwmfqLL0WAsEtRQeV9m0rpiooMusi2xMG72c6gD7Irpe5wCHDTyGUcJ9JgzWGhwpb2FRX3y7dR&#10;wMmx/fxK4o+9e73nh3zM/fP7m1Kz6bhbg/A0+v/wX/ukFbws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MZ/EAAAA2wAAAA8AAAAAAAAAAAAAAAAAmAIAAGRycy9k&#10;b3ducmV2LnhtbFBLBQYAAAAABAAEAPUAAACJAwAAAAA=&#10;" adj="17440,20560,5400" fillcolor="#4472c4 [3204]" strokecolor="#1f3763 [1604]" strokeweight="1pt"/>
                <v:oval id="Ellipse 44" o:spid="_x0000_s1056" style="position:absolute;left:44535;top:25795;width:10074;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ctMMA&#10;AADbAAAADwAAAGRycy9kb3ducmV2LnhtbESPQWvCQBSE7wX/w/IEb3WjhKLRVUQIaKGHxnh/ZJ/J&#10;YvZtyK4a/fXdQqHHYWa+YdbbwbbiTr03jhXMpgkI4sppw7WC8pS/L0D4gKyxdUwKnuRhuxm9rTHT&#10;7sHfdC9CLSKEfYYKmhC6TEpfNWTRT11HHL2L6y2GKPta6h4fEW5bOU+SD2nRcFxosKN9Q9W1uFkF&#10;r0NemnBbFouk/Lx+pcfcSXNWajIedisQgYbwH/5rH7SCNIX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PctMMAAADbAAAADwAAAAAAAAAAAAAAAACYAgAAZHJzL2Rv&#10;d25yZXYueG1sUEsFBgAAAAAEAAQA9QAAAIgDAAAAAA==&#10;" fillcolor="#4472c4 [3204]" strokecolor="#1f3763 [1604]" strokeweight="1pt">
                  <v:stroke joinstyle="miter"/>
                  <v:textbox>
                    <w:txbxContent>
                      <w:p w:rsidR="00A611AA" w:rsidRDefault="00A611AA" w:rsidP="00E24711">
                        <w:pPr>
                          <w:jc w:val="center"/>
                          <w:rPr>
                            <w:sz w:val="24"/>
                            <w:szCs w:val="24"/>
                          </w:rPr>
                        </w:pPr>
                        <w:r>
                          <w:rPr>
                            <w:rFonts w:eastAsia="Calibri"/>
                          </w:rPr>
                          <w:t>Legs</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 gauche 45" o:spid="_x0000_s1057" type="#_x0000_t66" style="position:absolute;left:35373;top:28709;width:9162;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EucMA&#10;AADbAAAADwAAAGRycy9kb3ducmV2LnhtbESPS2vDMBCE74H8B7GF3hK5IS2pY9kEF0MOpZAHPS/W&#10;+kGslWOptvvvq0Khx2FmvmGSbDadGGlwrWUFT+sIBHFpdcu1guulWO1AOI+ssbNMCr7JQZYuFwnG&#10;2k58ovHsaxEg7GJU0Hjfx1K6siGDbm174uBVdjDogxxqqQecAtx0chNFL9Jgy2GhwZ7yhsrb+cso&#10;kHYe82P1+ean95ZtcX89fWy1Uo8P82EPwtPs/8N/7aNWsH2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EucMAAADbAAAADwAAAAAAAAAAAAAAAACYAgAAZHJzL2Rv&#10;d25yZXYueG1sUEsFBgAAAAAEAAQA9QAAAIgDAAAAAA==&#10;" adj="1048" fillcolor="#4472c4 [3204]" strokecolor="#1f3763 [1604]" strokeweight="1pt"/>
                <v:shape id="Flèche : droite 46" o:spid="_x0000_s1058" type="#_x0000_t13" style="position:absolute;left:14774;top:9826;width:61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88MA&#10;AADbAAAADwAAAGRycy9kb3ducmV2LnhtbESPQYvCMBCF78L+hzALXkRTRdxSjbIIggdB1GX3Ojaz&#10;bbGZhCZq+++NIHh8vHnfm7dYtaYWN2p8ZVnBeJSAIM6trrhQ8HPaDFMQPiBrrC2Tgo48rJYfvQVm&#10;2t75QLdjKESEsM9QQRmCy6T0eUkG/cg64uj928ZgiLIppG7wHuGmlpMkmUmDFceGEh2tS8ovx6uJ&#10;b/wO/roLnje8G3yNXZF2572rlOp/tt9zEIHa8D5+pbdawXQGzy0R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q88MAAADbAAAADwAAAAAAAAAAAAAAAACYAgAAZHJzL2Rv&#10;d25yZXYueG1sUEsFBgAAAAAEAAQA9QAAAIgDAAAAAA==&#10;" adj="20150" fillcolor="#4472c4 [3204]" strokecolor="#1f3763 [1604]" strokeweight="1pt"/>
                <v:rect id="Rectangle 61" o:spid="_x0000_s1059" style="position:absolute;left:13547;top:6;width:25442;height:4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bFcMA&#10;AADbAAAADwAAAGRycy9kb3ducmV2LnhtbESPS2vDMBCE74H+B7GF3hLZeZjgRAklUKiPzqMlt8Xa&#10;2KbWykhq4v77KhDIcZiZb5j1djCduJLzrWUF6SQBQVxZ3XKt4Hj4GC9B+ICssbNMCv7Iw3bzMlpj&#10;ru2NS7ruQy0ihH2OCpoQ+lxKXzVk0E9sTxy9i3UGQ5SultrhLcJNJ6dJkkmDLceFBnvaNVT97H+N&#10;AjtrC5l9pwssXfl1wlkRzvNCqbfX4X0FItAQnuFH+1MryFK4f4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JbFcMAAADbAAAADwAAAAAAAAAAAAAAAACYAgAAZHJzL2Rv&#10;d25yZXYueG1sUEsFBgAAAAAEAAQA9QAAAIgDAAAAAA==&#10;" fillcolor="white [3201]" strokecolor="black [3213]" strokeweight="1pt">
                  <v:textbox inset="2.02597mm,1.013mm,2.02597mm,1.013mm">
                    <w:txbxContent>
                      <w:p w:rsidR="00A611AA" w:rsidRDefault="00A611AA" w:rsidP="002A2717">
                        <w:pPr>
                          <w:jc w:val="center"/>
                          <w:rPr>
                            <w:sz w:val="24"/>
                            <w:szCs w:val="24"/>
                          </w:rPr>
                        </w:pPr>
                        <w:r>
                          <w:rPr>
                            <w:rFonts w:eastAsia="Calibri"/>
                            <w:sz w:val="20"/>
                            <w:szCs w:val="20"/>
                          </w:rPr>
                          <w:t>Schéma 2 : l’accumulation du patrimoine</w:t>
                        </w:r>
                      </w:p>
                    </w:txbxContent>
                  </v:textbox>
                </v:rect>
                <w10:anchorlock/>
              </v:group>
            </w:pict>
          </mc:Fallback>
        </mc:AlternateContent>
      </w:r>
    </w:p>
    <w:p w:rsidR="00C5693A" w:rsidRDefault="00C5693A" w:rsidP="00CB56FE">
      <w:pPr>
        <w:jc w:val="center"/>
      </w:pPr>
    </w:p>
    <w:p w:rsidR="00CB56FE" w:rsidRDefault="001A4F22">
      <w:r>
        <w:t>Le patrimoine comprend les actifs monétaires et financiers, les actifs immobiliers…</w:t>
      </w:r>
    </w:p>
    <w:p w:rsidR="00CB56FE" w:rsidRDefault="00CB56FE"/>
    <w:p w:rsidR="00743AAF" w:rsidRDefault="00CB56FE">
      <w:r>
        <w:t>Les ménages qui disposent de revenus suffisants, et ceux qui ont bénéficié de legs conséquents, peuvent plus aisément accumuler du patrimoine. Les inégalités patrimoniales sont ainsi bien plus conséquentes que les inégalités de revenu comme en témoignent les travaux de Thomas Piketty, et ceux de l’INSEE.</w:t>
      </w:r>
    </w:p>
    <w:p w:rsidR="00492DAD" w:rsidRDefault="00492DAD"/>
    <w:p w:rsidR="00492DAD" w:rsidRDefault="00492DAD">
      <w:r>
        <w:t>Dans le tableau suivant, issu des travaux de l’INSEE (</w:t>
      </w:r>
      <w:r w:rsidRPr="005D6374">
        <w:rPr>
          <w:i/>
        </w:rPr>
        <w:t>Les revenus et le patrimoine des ménages</w:t>
      </w:r>
      <w:r>
        <w:t>, Edition 2018), on peut lire les inégalités de patrimoine en France :</w:t>
      </w:r>
    </w:p>
    <w:p w:rsidR="00492DAD" w:rsidRDefault="00492DAD">
      <w:r w:rsidRPr="00492DAD">
        <w:rPr>
          <w:noProof/>
          <w:lang w:eastAsia="fr-FR"/>
        </w:rPr>
        <w:drawing>
          <wp:inline distT="0" distB="0" distL="0" distR="0" wp14:anchorId="7E0B2860" wp14:editId="0D18F186">
            <wp:extent cx="5760720" cy="4300220"/>
            <wp:effectExtent l="0" t="0" r="0" b="508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00220"/>
                    </a:xfrm>
                    <a:prstGeom prst="rect">
                      <a:avLst/>
                    </a:prstGeom>
                    <a:noFill/>
                    <a:ln>
                      <a:noFill/>
                    </a:ln>
                  </pic:spPr>
                </pic:pic>
              </a:graphicData>
            </a:graphic>
          </wp:inline>
        </w:drawing>
      </w:r>
    </w:p>
    <w:p w:rsidR="005D6374" w:rsidRDefault="00492DAD">
      <w:r>
        <w:t>Ce tableau permet de représenter la répartition des patrimoines par décile (la population est alors découpée en dix tranches de 10%, par ordre de patrimoine croissant). Ce tableau précise même que les 1% les plus riches</w:t>
      </w:r>
      <w:r w:rsidR="005D6374">
        <w:rPr>
          <w:rStyle w:val="Appelnotedebasdep"/>
        </w:rPr>
        <w:footnoteReference w:id="2"/>
      </w:r>
      <w:r>
        <w:t xml:space="preserve"> détiennent au moins 1 953 000€ en 2015</w:t>
      </w:r>
      <w:r>
        <w:rPr>
          <w:rStyle w:val="Appelnotedebasdep"/>
        </w:rPr>
        <w:footnoteReference w:id="3"/>
      </w:r>
      <w:r>
        <w:t xml:space="preserve">. </w:t>
      </w:r>
      <w:r w:rsidR="005D6374">
        <w:t>A l’opposé, les 10% les plus pauvres ont un patrimoine inférieur à 4 300€.</w:t>
      </w:r>
    </w:p>
    <w:p w:rsidR="00743AAF" w:rsidRDefault="00492DAD">
      <w:r>
        <w:t xml:space="preserve">Par ailleurs, ce tableau nous indique que l’indice de Gini (indice de concentration de la richesse) est de 0,635 en 2015. Par comparaison, l’indice de Gini </w:t>
      </w:r>
      <w:r w:rsidR="005D6374">
        <w:t>des niveaux de vie</w:t>
      </w:r>
      <w:r w:rsidR="005C231D">
        <w:t xml:space="preserve"> (donc en flux)</w:t>
      </w:r>
      <w:r w:rsidR="005D6374">
        <w:t xml:space="preserve"> est de 0,292 en 2015.</w:t>
      </w:r>
    </w:p>
    <w:p w:rsidR="00F42A3F" w:rsidRDefault="00F42A3F">
      <w:pPr>
        <w:spacing w:after="160" w:line="259" w:lineRule="auto"/>
        <w:jc w:val="left"/>
      </w:pPr>
      <w:r>
        <w:br w:type="page"/>
      </w:r>
    </w:p>
    <w:p w:rsidR="00492DAD" w:rsidRDefault="00492DAD"/>
    <w:p w:rsidR="004346ED" w:rsidRDefault="004346ED" w:rsidP="006D3EF6">
      <w:pPr>
        <w:pStyle w:val="Titre1"/>
        <w:keepNext w:val="0"/>
        <w:keepLines w:val="0"/>
        <w:spacing w:before="0" w:after="200" w:line="276" w:lineRule="auto"/>
        <w:ind w:left="360" w:hanging="360"/>
        <w:jc w:val="left"/>
        <w:rPr>
          <w:rFonts w:ascii="Arial" w:hAnsi="Arial"/>
          <w:b/>
          <w:bCs/>
          <w:sz w:val="28"/>
          <w:szCs w:val="26"/>
          <w:u w:val="none"/>
        </w:rPr>
      </w:pPr>
      <w:bookmarkStart w:id="3" w:name="_Toc33187286"/>
      <w:r w:rsidRPr="006D3EF6">
        <w:rPr>
          <w:rFonts w:ascii="Arial" w:hAnsi="Arial"/>
          <w:b/>
          <w:bCs/>
          <w:sz w:val="28"/>
          <w:szCs w:val="26"/>
          <w:u w:val="none"/>
        </w:rPr>
        <w:t>Le pouvoir d’achat des ménages</w:t>
      </w:r>
      <w:bookmarkEnd w:id="3"/>
    </w:p>
    <w:p w:rsidR="00F42A3F" w:rsidRPr="00F42A3F" w:rsidRDefault="00F42A3F" w:rsidP="00F42A3F">
      <w:pPr>
        <w:rPr>
          <w:b/>
        </w:rPr>
      </w:pPr>
      <w:r w:rsidRPr="00F42A3F">
        <w:rPr>
          <w:b/>
        </w:rPr>
        <w:t>Extrait du programme d’économie de la classe de première STMG</w:t>
      </w:r>
    </w:p>
    <w:p w:rsidR="00F42A3F" w:rsidRPr="00F42A3F" w:rsidRDefault="00F42A3F" w:rsidP="00F4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970"/>
        <w:gridCol w:w="2970"/>
      </w:tblGrid>
      <w:tr w:rsidR="00F42A3F" w:rsidTr="00F42A3F">
        <w:trPr>
          <w:trHeight w:val="987"/>
        </w:trPr>
        <w:tc>
          <w:tcPr>
            <w:tcW w:w="2970" w:type="dxa"/>
          </w:tcPr>
          <w:p w:rsidR="00F42A3F" w:rsidRDefault="00F42A3F">
            <w:pPr>
              <w:pStyle w:val="Default"/>
              <w:rPr>
                <w:sz w:val="22"/>
                <w:szCs w:val="22"/>
              </w:rPr>
            </w:pPr>
            <w:r>
              <w:rPr>
                <w:b/>
                <w:bCs/>
                <w:sz w:val="22"/>
                <w:szCs w:val="22"/>
              </w:rPr>
              <w:t xml:space="preserve">III.2. Le pouvoir d’achat des ménages </w:t>
            </w:r>
          </w:p>
        </w:tc>
        <w:tc>
          <w:tcPr>
            <w:tcW w:w="2970" w:type="dxa"/>
          </w:tcPr>
          <w:p w:rsidR="00F42A3F" w:rsidRDefault="00F42A3F">
            <w:pPr>
              <w:pStyle w:val="Default"/>
              <w:rPr>
                <w:sz w:val="22"/>
                <w:szCs w:val="22"/>
              </w:rPr>
            </w:pPr>
            <w:r>
              <w:rPr>
                <w:sz w:val="22"/>
                <w:szCs w:val="22"/>
              </w:rPr>
              <w:t xml:space="preserve">Le pouvoir d’achat mesure la quantité de biens et services qu’un ménage peut acquérir étant donné le revenu dont il dispose. Aussi, une hausse des prix moins importante que celle du revenu disponible se traduit-elle par une augmentation de son pouvoir d’achat. Sur le long terme, on observe jusqu’à présent une amélioration du pouvoir d’achat des ménages, même si celle-ci peut être très inégale. </w:t>
            </w:r>
          </w:p>
        </w:tc>
        <w:tc>
          <w:tcPr>
            <w:tcW w:w="2970" w:type="dxa"/>
          </w:tcPr>
          <w:p w:rsidR="00F42A3F" w:rsidRDefault="00F42A3F">
            <w:pPr>
              <w:pStyle w:val="Default"/>
              <w:rPr>
                <w:sz w:val="22"/>
                <w:szCs w:val="22"/>
              </w:rPr>
            </w:pPr>
            <w:r>
              <w:rPr>
                <w:sz w:val="22"/>
                <w:szCs w:val="22"/>
              </w:rPr>
              <w:t xml:space="preserve">L’indice des prix à la consommation. </w:t>
            </w:r>
          </w:p>
          <w:p w:rsidR="00F42A3F" w:rsidRDefault="00F42A3F">
            <w:pPr>
              <w:pStyle w:val="Default"/>
              <w:rPr>
                <w:sz w:val="22"/>
                <w:szCs w:val="22"/>
              </w:rPr>
            </w:pPr>
            <w:r>
              <w:rPr>
                <w:sz w:val="22"/>
                <w:szCs w:val="22"/>
              </w:rPr>
              <w:t xml:space="preserve">Le panier de biens. </w:t>
            </w:r>
          </w:p>
          <w:p w:rsidR="00F42A3F" w:rsidRDefault="00F42A3F">
            <w:pPr>
              <w:pStyle w:val="Default"/>
              <w:rPr>
                <w:sz w:val="22"/>
                <w:szCs w:val="22"/>
              </w:rPr>
            </w:pPr>
            <w:r>
              <w:rPr>
                <w:sz w:val="22"/>
                <w:szCs w:val="22"/>
              </w:rPr>
              <w:t xml:space="preserve">L’évolution à long terme du pouvoir d’achat. </w:t>
            </w:r>
          </w:p>
        </w:tc>
      </w:tr>
    </w:tbl>
    <w:p w:rsidR="00F42A3F" w:rsidRPr="00F42A3F" w:rsidRDefault="00F42A3F" w:rsidP="00F42A3F"/>
    <w:p w:rsidR="004346ED" w:rsidRDefault="004346ED"/>
    <w:p w:rsidR="0040397F" w:rsidRDefault="004346ED">
      <w:r>
        <w:t xml:space="preserve">Le pouvoir d’achat des ménages mesure la quantité de biens </w:t>
      </w:r>
      <w:r w:rsidR="00E24711">
        <w:t xml:space="preserve">qu’ils peuvent </w:t>
      </w:r>
      <w:r>
        <w:t xml:space="preserve">acquérir étant donné </w:t>
      </w:r>
      <w:r w:rsidR="00E24711">
        <w:t>leur</w:t>
      </w:r>
      <w:r>
        <w:t xml:space="preserve"> revenu disponible et les prix des biens et services. </w:t>
      </w:r>
    </w:p>
    <w:p w:rsidR="0040397F" w:rsidRDefault="0040397F"/>
    <w:p w:rsidR="0040397F" w:rsidRDefault="0040397F">
      <w:r>
        <w:t>Le revenu disponible des ménages</w:t>
      </w:r>
      <w:r w:rsidR="00560C6C">
        <w:t xml:space="preserve"> correspond à la somme dont dispose un ménage pour dépenser (consommer, investir) ou épargner. Selon l’INSEE, « </w:t>
      </w:r>
      <w:r w:rsidR="00560C6C" w:rsidRPr="00560C6C">
        <w:rPr>
          <w:i/>
        </w:rPr>
        <w:t>il comprend l’ensemble des revenus d’activité (rémunérations salariales y compris cotisations légalement à la charge des employeurs, revenu mixte des non-salariés</w:t>
      </w:r>
      <w:r w:rsidR="00560C6C">
        <w:rPr>
          <w:rStyle w:val="Appelnotedebasdep"/>
          <w:i/>
        </w:rPr>
        <w:footnoteReference w:id="4"/>
      </w:r>
      <w:r w:rsidR="00560C6C" w:rsidRPr="00560C6C">
        <w:rPr>
          <w:i/>
        </w:rPr>
        <w:t>), des revenus de la propriété (intérêts, dividendes, revenus d’assurance-vie…) et des revenus fonciers (y compris les revenus locatifs imputés aux ménages propriétaires du logement qu’ils occupent). On y ajoute principalement les prestations sociales en espèces reçues par les ménages et on en retranche les cotisations sociales et les impôts versés.</w:t>
      </w:r>
      <w:r w:rsidR="00560C6C" w:rsidRPr="00560C6C">
        <w:t> »</w:t>
      </w:r>
    </w:p>
    <w:p w:rsidR="005D6374" w:rsidRDefault="005D6374"/>
    <w:p w:rsidR="005D6374" w:rsidRDefault="005D6374">
      <w:r>
        <w:rPr>
          <w:noProof/>
          <w:lang w:eastAsia="fr-FR"/>
        </w:rPr>
        <w:lastRenderedPageBreak/>
        <mc:AlternateContent>
          <mc:Choice Requires="wpc">
            <w:drawing>
              <wp:inline distT="0" distB="0" distL="0" distR="0" wp14:anchorId="10F664E5" wp14:editId="5789560B">
                <wp:extent cx="5975350" cy="4205750"/>
                <wp:effectExtent l="0" t="0" r="0" b="36195"/>
                <wp:docPr id="48" name="Zone de dessin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Ellipse 49"/>
                        <wps:cNvSpPr/>
                        <wps:spPr>
                          <a:xfrm>
                            <a:off x="0" y="717400"/>
                            <a:ext cx="1587500" cy="66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5D6374">
                              <w:pPr>
                                <w:jc w:val="center"/>
                              </w:pPr>
                              <w:r>
                                <w:t>Revenus d’activité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Ellipse 50"/>
                        <wps:cNvSpPr/>
                        <wps:spPr>
                          <a:xfrm>
                            <a:off x="1811950" y="717400"/>
                            <a:ext cx="1587500" cy="66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5D6374">
                              <w:pPr>
                                <w:jc w:val="center"/>
                                <w:rPr>
                                  <w:sz w:val="24"/>
                                  <w:szCs w:val="24"/>
                                </w:rPr>
                              </w:pPr>
                              <w:r>
                                <w:rPr>
                                  <w:rFonts w:eastAsia="Calibri"/>
                                </w:rPr>
                                <w:t>Revenus du patrimoine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Ellipse 51"/>
                        <wps:cNvSpPr/>
                        <wps:spPr>
                          <a:xfrm>
                            <a:off x="770550" y="2074350"/>
                            <a:ext cx="1587500" cy="66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5D6374">
                              <w:pPr>
                                <w:jc w:val="center"/>
                                <w:rPr>
                                  <w:sz w:val="24"/>
                                  <w:szCs w:val="24"/>
                                </w:rPr>
                              </w:pPr>
                              <w:r>
                                <w:rPr>
                                  <w:rFonts w:eastAsia="Calibri"/>
                                </w:rPr>
                                <w:t>Revenu primaire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Ellipse 52"/>
                        <wps:cNvSpPr/>
                        <wps:spPr>
                          <a:xfrm>
                            <a:off x="2404946" y="1888856"/>
                            <a:ext cx="1587500" cy="848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5D6374">
                              <w:pPr>
                                <w:jc w:val="center"/>
                                <w:rPr>
                                  <w:sz w:val="24"/>
                                  <w:szCs w:val="24"/>
                                </w:rPr>
                              </w:pPr>
                              <w:r w:rsidRPr="006A52D6">
                                <w:rPr>
                                  <w:rFonts w:eastAsia="Calibri"/>
                                </w:rPr>
                                <w:t>+ Prestations</w:t>
                              </w:r>
                              <w:r>
                                <w:rPr>
                                  <w:rFonts w:eastAsia="Calibri"/>
                                </w:rPr>
                                <w:t xml:space="preserve"> sociales en espèce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Ellipse 53"/>
                        <wps:cNvSpPr/>
                        <wps:spPr>
                          <a:xfrm>
                            <a:off x="4233746" y="1888854"/>
                            <a:ext cx="1587500" cy="965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Pr="001F0E81" w:rsidRDefault="00A611AA" w:rsidP="001F0E81">
                              <w:pPr>
                                <w:jc w:val="center"/>
                                <w:rPr>
                                  <w:sz w:val="24"/>
                                  <w:szCs w:val="24"/>
                                </w:rPr>
                              </w:pPr>
                              <w:r w:rsidRPr="006A52D6">
                                <w:rPr>
                                  <w:rFonts w:eastAsia="Calibri"/>
                                  <w:sz w:val="24"/>
                                  <w:szCs w:val="24"/>
                                </w:rPr>
                                <w:t>8-</w:t>
                              </w:r>
                              <w:r w:rsidRPr="006A52D6">
                                <w:rPr>
                                  <w:sz w:val="24"/>
                                  <w:szCs w:val="24"/>
                                </w:rPr>
                                <w:t xml:space="preserve"> Cotisations</w:t>
                              </w:r>
                              <w:r w:rsidRPr="001F0E81">
                                <w:rPr>
                                  <w:sz w:val="24"/>
                                  <w:szCs w:val="24"/>
                                </w:rPr>
                                <w:t xml:space="preserve"> sociales et impôt</w:t>
                              </w:r>
                              <w:r>
                                <w:rPr>
                                  <w:sz w:val="24"/>
                                  <w:szCs w:val="24"/>
                                </w:rPr>
                                <w: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Ellipse 54"/>
                        <wps:cNvSpPr/>
                        <wps:spPr>
                          <a:xfrm>
                            <a:off x="2637450" y="3545350"/>
                            <a:ext cx="1587500" cy="66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11AA" w:rsidRDefault="00A611AA" w:rsidP="001F0E81">
                              <w:pPr>
                                <w:jc w:val="center"/>
                                <w:rPr>
                                  <w:sz w:val="24"/>
                                  <w:szCs w:val="24"/>
                                </w:rPr>
                              </w:pPr>
                              <w:r>
                                <w:rPr>
                                  <w:rFonts w:eastAsia="Calibri"/>
                                </w:rPr>
                                <w:t>Revenu disponible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Flèche : droite 55"/>
                        <wps:cNvSpPr/>
                        <wps:spPr>
                          <a:xfrm rot="2242918">
                            <a:off x="1659942" y="3105837"/>
                            <a:ext cx="1403267" cy="1317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èche : droite 56"/>
                        <wps:cNvSpPr/>
                        <wps:spPr>
                          <a:xfrm rot="7550354">
                            <a:off x="3806237" y="3131930"/>
                            <a:ext cx="1123768" cy="1456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Flèche : bas 57"/>
                        <wps:cNvSpPr/>
                        <wps:spPr>
                          <a:xfrm>
                            <a:off x="3327400" y="2804600"/>
                            <a:ext cx="146050" cy="740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èche : gauche 58"/>
                        <wps:cNvSpPr/>
                        <wps:spPr>
                          <a:xfrm rot="18915362">
                            <a:off x="1414022" y="1637862"/>
                            <a:ext cx="933450" cy="13595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èche : gauche 59"/>
                        <wps:cNvSpPr/>
                        <wps:spPr>
                          <a:xfrm rot="13541712">
                            <a:off x="690658" y="1663890"/>
                            <a:ext cx="851945" cy="12436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684951" y="36000"/>
                            <a:ext cx="2899750" cy="435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11AA" w:rsidRDefault="00A611AA" w:rsidP="002A2717">
                              <w:pPr>
                                <w:jc w:val="center"/>
                                <w:rPr>
                                  <w:sz w:val="24"/>
                                  <w:szCs w:val="24"/>
                                </w:rPr>
                              </w:pPr>
                              <w:r>
                                <w:rPr>
                                  <w:rFonts w:eastAsia="Calibri"/>
                                  <w:sz w:val="20"/>
                                  <w:szCs w:val="20"/>
                                </w:rPr>
                                <w:t>Schéma 3 : la composition du revenu disponible</w:t>
                              </w:r>
                            </w:p>
                          </w:txbxContent>
                        </wps:txbx>
                        <wps:bodyPr rot="0" spcFirstLastPara="0" vert="horz" wrap="square" lIns="72935" tIns="36469" rIns="72935" bIns="36469" numCol="1" spcCol="0" rtlCol="0" fromWordArt="0" anchor="ctr" anchorCtr="0" forceAA="0" compatLnSpc="1">
                          <a:prstTxWarp prst="textNoShape">
                            <a:avLst/>
                          </a:prstTxWarp>
                          <a:noAutofit/>
                        </wps:bodyPr>
                      </wps:wsp>
                    </wpc:wpc>
                  </a:graphicData>
                </a:graphic>
              </wp:inline>
            </w:drawing>
          </mc:Choice>
          <mc:Fallback>
            <w:pict>
              <v:group id="Zone de dessin 48" o:spid="_x0000_s1060" editas="canvas" style="width:470.5pt;height:331.15pt;mso-position-horizontal-relative:char;mso-position-vertical-relative:line" coordsize="59753,4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">
                <v:shape id="_x0000_s1061" type="#_x0000_t75" style="position:absolute;width:59753;height:42056;visibility:visible;mso-wrap-style:square">
                  <v:fill o:detectmouseclick="t"/>
                  <v:path o:connecttype="none"/>
                </v:shape>
                <v:oval id="Ellipse 49" o:spid="_x0000_s1062" style="position:absolute;top:7174;width:15875;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zKsIA&#10;AADbAAAADwAAAGRycy9kb3ducmV2LnhtbESPQYvCMBSE78L+h/AWvGnqIqLVKLJQUMGDtd4fzbMN&#10;Ni+lidrdX28WFjwOM/MNs9r0thEP6rxxrGAyTkAQl04brhQU52w0B+EDssbGMSn4IQ+b9cdghal2&#10;Tz7RIw+ViBD2KSqoQ2hTKX1Zk0U/di1x9K6usxii7CqpO3xGuG3kV5LMpEXDcaHGlr5rKm/53Sr4&#10;3WWFCfdFPk+Kw+043WdOmotSw89+uwQRqA/v8H97pxVMF/D3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nMqwgAAANsAAAAPAAAAAAAAAAAAAAAAAJgCAABkcnMvZG93&#10;bnJldi54bWxQSwUGAAAAAAQABAD1AAAAhwMAAAAA&#10;" fillcolor="#4472c4 [3204]" strokecolor="#1f3763 [1604]" strokeweight="1pt">
                  <v:stroke joinstyle="miter"/>
                  <v:textbox>
                    <w:txbxContent>
                      <w:p w:rsidR="00A611AA" w:rsidRDefault="00A611AA" w:rsidP="005D6374">
                        <w:pPr>
                          <w:jc w:val="center"/>
                        </w:pPr>
                        <w:r>
                          <w:t>Revenus d’activité</w:t>
                        </w:r>
                      </w:p>
                    </w:txbxContent>
                  </v:textbox>
                </v:oval>
                <v:oval id="Ellipse 50" o:spid="_x0000_s1063" style="position:absolute;left:18119;top:7174;width:15875;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MasEA&#10;AADbAAAADwAAAGRycy9kb3ducmV2LnhtbERPz2vCMBS+D/wfwhO8raljG7UaRYSCG+ywrrs/mmcT&#10;bF5KE7Xur18Ogx0/vt+b3eR6caUxWM8KllkOgrj12nKnoPmqHgsQISJr7D2TgjsF2G1nDxsstb/x&#10;J13r2IkUwqFEBSbGoZQytIYchswPxIk7+dFhTHDspB7xlsJdL5/y/FU6tJwaDA50MNSe64tT8HOs&#10;Ghsvq7rIm/fzx/Nb5aX9Vmoxn/ZrEJGm+C/+cx+1gp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hTGrBAAAA2wAAAA8AAAAAAAAAAAAAAAAAmAIAAGRycy9kb3du&#10;cmV2LnhtbFBLBQYAAAAABAAEAPUAAACGAwAAAAA=&#10;" fillcolor="#4472c4 [3204]" strokecolor="#1f3763 [1604]" strokeweight="1pt">
                  <v:stroke joinstyle="miter"/>
                  <v:textbox>
                    <w:txbxContent>
                      <w:p w:rsidR="00A611AA" w:rsidRDefault="00A611AA" w:rsidP="005D6374">
                        <w:pPr>
                          <w:jc w:val="center"/>
                          <w:rPr>
                            <w:sz w:val="24"/>
                            <w:szCs w:val="24"/>
                          </w:rPr>
                        </w:pPr>
                        <w:r>
                          <w:rPr>
                            <w:rFonts w:eastAsia="Calibri"/>
                          </w:rPr>
                          <w:t>Revenus du patrimoine</w:t>
                        </w:r>
                      </w:p>
                    </w:txbxContent>
                  </v:textbox>
                </v:oval>
                <v:oval id="Ellipse 51" o:spid="_x0000_s1064" style="position:absolute;left:7705;top:20743;width:15875;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p8cMA&#10;AADbAAAADwAAAGRycy9kb3ducmV2LnhtbESPQWvCQBSE7wX/w/IK3upG0WJTVxEhoIKHxnh/ZF+T&#10;xezbkF019td3BcHjMDPfMItVbxtxpc4bxwrGowQEcem04UpBccw+5iB8QNbYOCYFd/KwWg7eFphq&#10;d+MfuuahEhHCPkUFdQhtKqUva7LoR64ljt6v6yyGKLtK6g5vEW4bOUmST2nRcFyosaVNTeU5v1gF&#10;f9usMOHylc+TYn8+THeZk+ak1PC9X3+DCNSHV/jZ3moFszE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3p8cMAAADbAAAADwAAAAAAAAAAAAAAAACYAgAAZHJzL2Rv&#10;d25yZXYueG1sUEsFBgAAAAAEAAQA9QAAAIgDAAAAAA==&#10;" fillcolor="#4472c4 [3204]" strokecolor="#1f3763 [1604]" strokeweight="1pt">
                  <v:stroke joinstyle="miter"/>
                  <v:textbox>
                    <w:txbxContent>
                      <w:p w:rsidR="00A611AA" w:rsidRDefault="00A611AA" w:rsidP="005D6374">
                        <w:pPr>
                          <w:jc w:val="center"/>
                          <w:rPr>
                            <w:sz w:val="24"/>
                            <w:szCs w:val="24"/>
                          </w:rPr>
                        </w:pPr>
                        <w:r>
                          <w:rPr>
                            <w:rFonts w:eastAsia="Calibri"/>
                          </w:rPr>
                          <w:t>Revenu primaire</w:t>
                        </w:r>
                      </w:p>
                    </w:txbxContent>
                  </v:textbox>
                </v:oval>
                <v:oval id="Ellipse 52" o:spid="_x0000_s1065" style="position:absolute;left:24049;top:18888;width:15875;height:8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3hsMA&#10;AADbAAAADwAAAGRycy9kb3ducmV2LnhtbESPQWvCQBSE7wX/w/IEb3VT0WJTVxEhoIKHxnh/ZF+T&#10;xezbkF019td3BcHjMDPfMItVbxtxpc4bxwo+xgkI4tJpw5WC4pi9z0H4gKyxcUwK7uRhtRy8LTDV&#10;7sY/dM1DJSKEfYoK6hDaVEpf1mTRj11LHL1f11kMUXaV1B3eItw2cpIkn9Ki4bhQY0ubmspzfrEK&#10;/rZZYcLlK58nxf58mO4yJ81JqdGwX3+DCNSHV/jZ3moFswk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93hsMAAADbAAAADwAAAAAAAAAAAAAAAACYAgAAZHJzL2Rv&#10;d25yZXYueG1sUEsFBgAAAAAEAAQA9QAAAIgDAAAAAA==&#10;" fillcolor="#4472c4 [3204]" strokecolor="#1f3763 [1604]" strokeweight="1pt">
                  <v:stroke joinstyle="miter"/>
                  <v:textbox>
                    <w:txbxContent>
                      <w:p w:rsidR="00A611AA" w:rsidRDefault="00A611AA" w:rsidP="005D6374">
                        <w:pPr>
                          <w:jc w:val="center"/>
                          <w:rPr>
                            <w:sz w:val="24"/>
                            <w:szCs w:val="24"/>
                          </w:rPr>
                        </w:pPr>
                        <w:r w:rsidRPr="006A52D6">
                          <w:rPr>
                            <w:rFonts w:eastAsia="Calibri"/>
                          </w:rPr>
                          <w:t>+ Prestations</w:t>
                        </w:r>
                        <w:r>
                          <w:rPr>
                            <w:rFonts w:eastAsia="Calibri"/>
                          </w:rPr>
                          <w:t xml:space="preserve"> sociales en espèce</w:t>
                        </w:r>
                      </w:p>
                    </w:txbxContent>
                  </v:textbox>
                </v:oval>
                <v:oval id="Ellipse 53" o:spid="_x0000_s1066" style="position:absolute;left:42337;top:18888;width:15875;height:9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SHcQA&#10;AADbAAAADwAAAGRycy9kb3ducmV2LnhtbESPQWvCQBSE74L/YXlCb7qxrWJjVimFgC14ME3vj+xr&#10;siT7NmRXTfvruwXB4zAz3zDZfrSduNDgjWMFy0UCgrhy2nCtoPzM5xsQPiBr7ByTgh/ysN9NJxmm&#10;2l35RJci1CJC2KeooAmhT6X0VUMW/cL1xNH7doPFEOVQSz3gNcJtJx+TZC0tGo4LDfb01lDVFmer&#10;4PeQlyacX4pNUn60x+f33EnzpdTDbHzdggg0hnv41j5oBasn+P8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0h3EAAAA2wAAAA8AAAAAAAAAAAAAAAAAmAIAAGRycy9k&#10;b3ducmV2LnhtbFBLBQYAAAAABAAEAPUAAACJAwAAAAA=&#10;" fillcolor="#4472c4 [3204]" strokecolor="#1f3763 [1604]" strokeweight="1pt">
                  <v:stroke joinstyle="miter"/>
                  <v:textbox>
                    <w:txbxContent>
                      <w:p w:rsidR="00A611AA" w:rsidRPr="001F0E81" w:rsidRDefault="00A611AA" w:rsidP="001F0E81">
                        <w:pPr>
                          <w:jc w:val="center"/>
                          <w:rPr>
                            <w:sz w:val="24"/>
                            <w:szCs w:val="24"/>
                          </w:rPr>
                        </w:pPr>
                        <w:r w:rsidRPr="006A52D6">
                          <w:rPr>
                            <w:rFonts w:eastAsia="Calibri"/>
                            <w:sz w:val="24"/>
                            <w:szCs w:val="24"/>
                          </w:rPr>
                          <w:t>8-</w:t>
                        </w:r>
                        <w:r w:rsidRPr="006A52D6">
                          <w:rPr>
                            <w:sz w:val="24"/>
                            <w:szCs w:val="24"/>
                          </w:rPr>
                          <w:t xml:space="preserve"> Cotisations</w:t>
                        </w:r>
                        <w:r w:rsidRPr="001F0E81">
                          <w:rPr>
                            <w:sz w:val="24"/>
                            <w:szCs w:val="24"/>
                          </w:rPr>
                          <w:t xml:space="preserve"> sociales et impôt</w:t>
                        </w:r>
                        <w:r>
                          <w:rPr>
                            <w:sz w:val="24"/>
                            <w:szCs w:val="24"/>
                          </w:rPr>
                          <w:t>s</w:t>
                        </w:r>
                      </w:p>
                    </w:txbxContent>
                  </v:textbox>
                </v:oval>
                <v:oval id="Ellipse 54" o:spid="_x0000_s1067" style="position:absolute;left:26374;top:35453;width:15875;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KacQA&#10;AADbAAAADwAAAGRycy9kb3ducmV2LnhtbESPQWvCQBSE74L/YXmCN91UrNjUjYgQ0EIPpun9kX1N&#10;lmTfhuyqsb++Wyj0OMzMN8xuP9pO3GjwxrGCp2UCgrhy2nCtoPzIF1sQPiBr7ByTggd52GfTyQ5T&#10;7e58oVsRahEh7FNU0ITQp1L6qiGLful64uh9ucFiiHKopR7wHuG2k6sk2UiLhuNCgz0dG6ra4moV&#10;fJ/y0oTrS7FNyrf2fX3OnTSfSs1n4+EVRKAx/If/2iet4HkN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aSmnEAAAA2wAAAA8AAAAAAAAAAAAAAAAAmAIAAGRycy9k&#10;b3ducmV2LnhtbFBLBQYAAAAABAAEAPUAAACJAwAAAAA=&#10;" fillcolor="#4472c4 [3204]" strokecolor="#1f3763 [1604]" strokeweight="1pt">
                  <v:stroke joinstyle="miter"/>
                  <v:textbox>
                    <w:txbxContent>
                      <w:p w:rsidR="00A611AA" w:rsidRDefault="00A611AA" w:rsidP="001F0E81">
                        <w:pPr>
                          <w:jc w:val="center"/>
                          <w:rPr>
                            <w:sz w:val="24"/>
                            <w:szCs w:val="24"/>
                          </w:rPr>
                        </w:pPr>
                        <w:r>
                          <w:rPr>
                            <w:rFonts w:eastAsia="Calibri"/>
                          </w:rPr>
                          <w:t>Revenu disponible</w:t>
                        </w:r>
                      </w:p>
                    </w:txbxContent>
                  </v:textbox>
                </v:oval>
                <v:shape id="Flèche : droite 55" o:spid="_x0000_s1068" type="#_x0000_t13" style="position:absolute;left:16599;top:31058;width:14033;height:1318;rotation:24498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9NJMUA&#10;AADbAAAADwAAAGRycy9kb3ducmV2LnhtbESPT2vCQBTE70K/w/IKvenGitKkrhKEqjdp+oceH9nn&#10;Jpp9G7JbjX56t1DwOMzMb5j5sreNOFHna8cKxqMEBHHpdM1GwefH2/AFhA/IGhvHpOBCHpaLh8Ec&#10;M+3O/E6nIhgRIewzVFCF0GZS+rIii37kWuLo7V1nMUTZGak7PEe4beRzksykxZrjQoUtrSoqj8Wv&#10;VVB8p8d1mh5Wu+uP2V0n43zzlRulnh77/BVEoD7cw//trVYwnc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00kxQAAANsAAAAPAAAAAAAAAAAAAAAAAJgCAABkcnMv&#10;ZG93bnJldi54bWxQSwUGAAAAAAQABAD1AAAAigMAAAAA&#10;" adj="20586" fillcolor="#4472c4 [3204]" strokecolor="#1f3763 [1604]" strokeweight="1pt"/>
                <v:shape id="Flèche : droite 56" o:spid="_x0000_s1069" type="#_x0000_t13" style="position:absolute;left:38062;top:31318;width:11238;height:1457;rotation:82470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DRMQA&#10;AADbAAAADwAAAGRycy9kb3ducmV2LnhtbESPT4vCMBTE74LfITzB25q6uGWpRhFR8Lbq+gdvj+bZ&#10;FpuXbhK1++03woLHYWZ+w0xmranFnZyvLCsYDhIQxLnVFRcK9t+rt08QPiBrrC2Tgl/yMJt2OxPM&#10;tH3wlu67UIgIYZ+hgjKEJpPS5yUZ9APbEEfvYp3BEKUrpHb4iHBTy/ckSaXBiuNCiQ0tSsqvu5tR&#10;cHQX81Wlh59wPtWj9W25cfvRRql+r52PQQRqwyv8315rBR8pPL/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w0TEAAAA2wAAAA8AAAAAAAAAAAAAAAAAmAIAAGRycy9k&#10;b3ducmV2LnhtbFBLBQYAAAAABAAEAPUAAACJAwAAAAA=&#10;" adj="20200" fillcolor="#4472c4 [3204]" strokecolor="#1f3763 [1604]" strokeweight="1pt"/>
                <v:shape id="Flèche : bas 57" o:spid="_x0000_s1070" type="#_x0000_t67" style="position:absolute;left:33274;top:28046;width:1460;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4FMQA&#10;AADbAAAADwAAAGRycy9kb3ducmV2LnhtbESPS2vCQBSF9wX/w3AFd3VixQfRUaRqcVEQY2m7vGau&#10;STBzJ2SmMf57pyC4PJzHx5kvW1OKhmpXWFYw6EcgiFOrC84UfB23r1MQziNrLC2Tghs5WC46L3OM&#10;tb3ygZrEZyKMsItRQe59FUvp0pwMur6tiIN3trVBH2SdSV3jNYybUr5F0VgaLDgQcqzoPaf0kvyZ&#10;AKn2HzRozp/rYSKL3+/Tj9xMhkr1uu1qBsJT65/hR3unFYwm8P8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4OBTEAAAA2wAAAA8AAAAAAAAAAAAAAAAAmAIAAGRycy9k&#10;b3ducmV2LnhtbFBLBQYAAAAABAAEAPUAAACJAwAAAAA=&#10;" adj="19471" fillcolor="#4472c4 [3204]" strokecolor="#1f3763 [1604]" strokeweight="1pt"/>
                <v:shape id="Flèche : gauche 58" o:spid="_x0000_s1071" type="#_x0000_t66" style="position:absolute;left:14140;top:16378;width:9334;height:1360;rotation:-29323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CC8IA&#10;AADbAAAADwAAAGRycy9kb3ducmV2LnhtbERPy2rCQBTdC/7DcAvdSJ1EtLTRSVBRKHSl9rG9ZK5J&#10;aOZOmJma2K/vLASXh/NeFYNpxYWcbywrSKcJCOLS6oYrBR+n/dMLCB+QNbaWScGVPBT5eLTCTNue&#10;D3Q5hkrEEPYZKqhD6DIpfVmTQT+1HXHkztYZDBG6SmqHfQw3rZwlybM02HBsqLGjbU3lz/HXKNj3&#10;qZ6sB7x+fs936ddp8/43eXVKPT4M6yWIQEO4i2/uN61gEcfG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UILwgAAANsAAAAPAAAAAAAAAAAAAAAAAJgCAABkcnMvZG93&#10;bnJldi54bWxQSwUGAAAAAAQABAD1AAAAhwMAAAAA&#10;" adj="1573" fillcolor="#4472c4 [3204]" strokecolor="#1f3763 [1604]" strokeweight="1pt"/>
                <v:shape id="Flèche : gauche 59" o:spid="_x0000_s1072" type="#_x0000_t66" style="position:absolute;left:6906;top:16639;width:8519;height:1244;rotation:-88017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uxsQA&#10;AADbAAAADwAAAGRycy9kb3ducmV2LnhtbESPT2sCMRTE7wW/Q3hCb5qt1GJXo6jQ6kn804PeHpvn&#10;7tbNy7KJa/z2piD0OMzMb5jJLJhKtNS40rKCt34CgjizuuRcwc/hqzcC4TyyxsoyKbiTg9m08zLB&#10;VNsb76jd+1xECLsUFRTe16mULivIoOvbmjh6Z9sY9FE2udQN3iLcVHKQJB/SYMlxocCalgVll/3V&#10;KFh8h01YXU96hdvjO7fLX8zXB6Veu2E+BuEp+P/ws73WCoaf8Pc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bsbEAAAA2wAAAA8AAAAAAAAAAAAAAAAAmAIAAGRycy9k&#10;b3ducmV2LnhtbFBLBQYAAAAABAAEAPUAAACJAwAAAAA=&#10;" adj="1577" fillcolor="#4472c4 [3204]" strokecolor="#1f3763 [1604]" strokeweight="1pt"/>
                <v:rect id="Rectangle 62" o:spid="_x0000_s1073" style="position:absolute;left:16849;top:360;width:28998;height:4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FYsIA&#10;AADbAAAADwAAAGRycy9kb3ducmV2LnhtbESPS2vDMBCE74H8B7GB3mI5LxPcKCEECvXRedLbYm1t&#10;U2tlJDVx/30VKPQ4zMw3zGY3mE7cyfnWsoJZkoIgrqxuuVZwPr1N1yB8QNbYWSYFP+Rhtx2PNphr&#10;++CS7sdQiwhhn6OCJoQ+l9JXDRn0ie2Jo/dpncEQpauldviIcNPJeZpm0mDLcaHBng4NVV/Hb6PA&#10;LtpCZrfZCktXXi+4KMLHslDqZTLsX0EEGsJ/+K/9rhVkc3h+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MViwgAAANsAAAAPAAAAAAAAAAAAAAAAAJgCAABkcnMvZG93&#10;bnJldi54bWxQSwUGAAAAAAQABAD1AAAAhwMAAAAA&#10;" fillcolor="white [3201]" strokecolor="black [3213]" strokeweight="1pt">
                  <v:textbox inset="2.02597mm,1.013mm,2.02597mm,1.013mm">
                    <w:txbxContent>
                      <w:p w:rsidR="00A611AA" w:rsidRDefault="00A611AA" w:rsidP="002A2717">
                        <w:pPr>
                          <w:jc w:val="center"/>
                          <w:rPr>
                            <w:sz w:val="24"/>
                            <w:szCs w:val="24"/>
                          </w:rPr>
                        </w:pPr>
                        <w:r>
                          <w:rPr>
                            <w:rFonts w:eastAsia="Calibri"/>
                            <w:sz w:val="20"/>
                            <w:szCs w:val="20"/>
                          </w:rPr>
                          <w:t>Schéma 3 : la composition du revenu disponible</w:t>
                        </w:r>
                      </w:p>
                    </w:txbxContent>
                  </v:textbox>
                </v:rect>
                <w10:anchorlock/>
              </v:group>
            </w:pict>
          </mc:Fallback>
        </mc:AlternateContent>
      </w:r>
    </w:p>
    <w:p w:rsidR="0040397F" w:rsidRDefault="0040397F"/>
    <w:p w:rsidR="0063233F" w:rsidRDefault="0063233F"/>
    <w:p w:rsidR="00560C6C" w:rsidRDefault="00816B84">
      <w:r>
        <w:t>Afin</w:t>
      </w:r>
      <w:r w:rsidR="0063233F">
        <w:t xml:space="preserve"> de calculer le pouvoir d’achat des ménages, il est nécessaire de déterminer les prix des biens et services qu’ils consomment. </w:t>
      </w:r>
      <w:r w:rsidR="00EA3A93">
        <w:t xml:space="preserve">Pour cela, dans les enquêtes statistiques menées par l’INSEE et par Eurostat, on constitue un « panier-type » de biens et services consommés sur un territoire donné. </w:t>
      </w:r>
      <w:r w:rsidR="009F5C34">
        <w:t>Puis, on pondère le prix de chacun de ces biens par son poids relatif dans le panier</w:t>
      </w:r>
      <w:r w:rsidR="00711523">
        <w:t xml:space="preserve"> (par exemple, si l’alimentation représente 20% des dépenses des ménages, l’indice de prix des biens alimentaires est pondéré par 0,2 dans le calcul du prix du panier de biens et services)</w:t>
      </w:r>
      <w:r w:rsidR="009F5C34">
        <w:t>. Ainsi, la hausse des loyers affectera beaucoup plus le prix du « panier-type », qu’une augmentation du prix des entrées au cinéma. L’ind</w:t>
      </w:r>
      <w:r w:rsidR="006A52D6">
        <w:t>ic</w:t>
      </w:r>
      <w:r w:rsidR="009F5C34">
        <w:t>e des prix à la consommation (IPC) correspond au prix du « panier-type ».</w:t>
      </w:r>
    </w:p>
    <w:p w:rsidR="0040397F" w:rsidRDefault="009F5C34">
      <w:r>
        <w:t xml:space="preserve">Enfin, l’inflation correspond au taux de variation de cet IPC. </w:t>
      </w:r>
    </w:p>
    <w:p w:rsidR="00E24711" w:rsidRDefault="009F5C34">
      <w:r>
        <w:t>Au final, l</w:t>
      </w:r>
      <w:r w:rsidR="00E24711">
        <w:t xml:space="preserve">e pouvoir d’achat </w:t>
      </w:r>
      <w:r w:rsidR="001F0E81">
        <w:t xml:space="preserve">des ménages </w:t>
      </w:r>
      <w:r w:rsidR="00E24711">
        <w:t>n’augmente que si le revenu disponible s’accroît plus vite que les prix.</w:t>
      </w:r>
    </w:p>
    <w:p w:rsidR="009F5C34" w:rsidRDefault="009F5C34"/>
    <w:p w:rsidR="009F5C34" w:rsidRDefault="009F5C34">
      <w:r>
        <w:rPr>
          <w:noProof/>
          <w:lang w:eastAsia="fr-FR"/>
        </w:rPr>
        <w:lastRenderedPageBreak/>
        <w:drawing>
          <wp:inline distT="0" distB="0" distL="0" distR="0" wp14:anchorId="66BB554E" wp14:editId="3BC4797D">
            <wp:extent cx="4254500" cy="4254403"/>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3901" cy="4283804"/>
                    </a:xfrm>
                    <a:prstGeom prst="rect">
                      <a:avLst/>
                    </a:prstGeom>
                  </pic:spPr>
                </pic:pic>
              </a:graphicData>
            </a:graphic>
          </wp:inline>
        </w:drawing>
      </w:r>
    </w:p>
    <w:p w:rsidR="00E24711" w:rsidRDefault="00E24711"/>
    <w:p w:rsidR="009F5C34" w:rsidRDefault="009F5C34">
      <w:r>
        <w:t xml:space="preserve">Sur le graphique précédent, on observe qu’à de rares exceptions près, le revenu disponible agrégé et le pouvoir d’achat augmentent depuis les « trente glorieuses ». </w:t>
      </w:r>
      <w:r w:rsidR="002A2717">
        <w:t>Deux précisions doivent néanmoins être apportées :</w:t>
      </w:r>
    </w:p>
    <w:p w:rsidR="002A2717" w:rsidRDefault="002A2717" w:rsidP="002A2717">
      <w:pPr>
        <w:pStyle w:val="Paragraphedeliste"/>
        <w:numPr>
          <w:ilvl w:val="0"/>
          <w:numId w:val="13"/>
        </w:numPr>
      </w:pPr>
      <w:r>
        <w:t>la hausse du pouvoir d’achat a été la plus importante durant les « trente glorieuses » ;</w:t>
      </w:r>
    </w:p>
    <w:p w:rsidR="002A2717" w:rsidRDefault="002A2717" w:rsidP="002A2717">
      <w:pPr>
        <w:pStyle w:val="Paragraphedeliste"/>
        <w:numPr>
          <w:ilvl w:val="0"/>
          <w:numId w:val="13"/>
        </w:numPr>
      </w:pPr>
      <w:r>
        <w:t>il s’agit ici de statistiques agrégées sur l’évolution du pouvoir d’achat. Or, le pouvoir d’achat n’a pas évolué de la même façon pour tous les individus.</w:t>
      </w:r>
    </w:p>
    <w:p w:rsidR="009F5C34" w:rsidRDefault="009F5C34"/>
    <w:p w:rsidR="00B04C92" w:rsidRDefault="00B04C92">
      <w:r>
        <w:t>Le</w:t>
      </w:r>
      <w:r w:rsidR="00C05AE4">
        <w:t>s</w:t>
      </w:r>
      <w:r>
        <w:t xml:space="preserve"> site</w:t>
      </w:r>
      <w:r w:rsidR="00C05AE4">
        <w:t>s</w:t>
      </w:r>
      <w:r>
        <w:t xml:space="preserve"> Internet de la Banque centrale européenne (BCE)</w:t>
      </w:r>
      <w:r w:rsidR="00C05AE4">
        <w:t xml:space="preserve"> et de l’INSEE</w:t>
      </w:r>
      <w:r>
        <w:t xml:space="preserve"> propose</w:t>
      </w:r>
      <w:r w:rsidR="00C05AE4">
        <w:t>nt</w:t>
      </w:r>
      <w:r>
        <w:t xml:space="preserve"> des ressources pédagogiques très intéressantes afin d’expliquer le calcul de l’inflation</w:t>
      </w:r>
      <w:r w:rsidR="00E24711">
        <w:t xml:space="preserve"> moyenne dans un territoire donné</w:t>
      </w:r>
      <w:r>
        <w:t>.</w:t>
      </w:r>
    </w:p>
    <w:p w:rsidR="00B04C92" w:rsidRDefault="00B04C92"/>
    <w:p w:rsidR="00A70711" w:rsidRDefault="0078278D" w:rsidP="00A70711">
      <w:r>
        <w:t xml:space="preserve">À </w:t>
      </w:r>
      <w:r w:rsidR="00C05AE4">
        <w:t xml:space="preserve">cette première approche </w:t>
      </w:r>
      <w:r w:rsidR="00A70711">
        <w:t>agrégée, il est possible d’ajouter une analyse plus fine en précisant que :</w:t>
      </w:r>
    </w:p>
    <w:p w:rsidR="00A70711" w:rsidRDefault="00A70711" w:rsidP="00A70711"/>
    <w:p w:rsidR="00A70711" w:rsidRDefault="00A70711" w:rsidP="00A70711">
      <w:pPr>
        <w:pStyle w:val="Paragraphedeliste"/>
        <w:numPr>
          <w:ilvl w:val="0"/>
          <w:numId w:val="10"/>
        </w:numPr>
      </w:pPr>
      <w:r>
        <w:t>l’évolution du pouvoir d’achat est différente pour les ménages modestes et pour ceux plus aisés ;</w:t>
      </w:r>
    </w:p>
    <w:p w:rsidR="00A70711" w:rsidRDefault="00A70711" w:rsidP="00A70711">
      <w:pPr>
        <w:pStyle w:val="Paragraphedeliste"/>
        <w:numPr>
          <w:ilvl w:val="0"/>
          <w:numId w:val="10"/>
        </w:numPr>
      </w:pPr>
      <w:r>
        <w:t>la dynamique du pouvoir d’achat dépend de la région considérée ;</w:t>
      </w:r>
    </w:p>
    <w:p w:rsidR="00A70711" w:rsidRDefault="00A70711" w:rsidP="00A70711">
      <w:pPr>
        <w:pStyle w:val="Paragraphedeliste"/>
        <w:numPr>
          <w:ilvl w:val="0"/>
          <w:numId w:val="10"/>
        </w:numPr>
      </w:pPr>
      <w:r>
        <w:t>nous pouvons aussi calculer l’évolution du « pouvoir d’achat arbitrable », i.e. une fois déduites les dépenses pré-engagées par les ménages (notamment loyers, services financiers, technologies de l’information et de la communication) ;</w:t>
      </w:r>
    </w:p>
    <w:p w:rsidR="00A70711" w:rsidRDefault="00A70711" w:rsidP="00A70711">
      <w:pPr>
        <w:pStyle w:val="Paragraphedeliste"/>
        <w:numPr>
          <w:ilvl w:val="0"/>
          <w:numId w:val="10"/>
        </w:numPr>
      </w:pPr>
      <w:r>
        <w:t>il peut y avoir une différence entre le pouvoir d’achat calculé pour les ménages et le pouvoir d’achat ressenti par la population ;</w:t>
      </w:r>
    </w:p>
    <w:p w:rsidR="00B04C92" w:rsidRDefault="00B04C92"/>
    <w:p w:rsidR="00A70711" w:rsidRDefault="00A70711">
      <w:r>
        <w:t>L’INSEE propose notamment un « simulateur d’Indices des prix personnalisé » afin de tenir compte des situations de chacun.</w:t>
      </w:r>
    </w:p>
    <w:p w:rsidR="002A2FA2" w:rsidRDefault="002A2FA2"/>
    <w:p w:rsidR="002A2FA2" w:rsidRDefault="002A2FA2">
      <w:r>
        <w:lastRenderedPageBreak/>
        <w:t>Le calcul de l’inflation n’est pertinent que si les biens sont identiques entre deux dates. Par exemple, on peut comparer l’évolution du prix d’une tablette de chocolat entre 2018 et 2019 si la composition de cette tablette est la même (même pourcentage de cacao, de sucre…). Mais ce calcul pose problème pour les biens dont les caractéristiques évolue</w:t>
      </w:r>
      <w:r w:rsidR="00655A40">
        <w:t>nt</w:t>
      </w:r>
      <w:r>
        <w:t xml:space="preserve"> rapidement. C’est notamment le cas des biens technologiques, dont la qualité s’améliore en permanence grâce aux innovations. Les instituts statistiques considèrent ainsi que si le prix d’une télévision est constant, mais que celle-ci permet aujourd’hui d’avoir accès à Internet, possède une meilleure qualité d’image… alors le pouvoir d’achat des consommateurs a augmenté. Cela contribue au décalage entre l’inflation mesurée, et la perception de l’évolution du pouvoir d’achat par les ménages. </w:t>
      </w:r>
      <w:r w:rsidR="00355268">
        <w:t>Ces derniers sont aussi très sensibles à leur pouvoir d’achat arbitrable dont nous avons parlé précédemment.</w:t>
      </w:r>
    </w:p>
    <w:p w:rsidR="00A70711" w:rsidRDefault="00A70711"/>
    <w:p w:rsidR="00B04C92" w:rsidRDefault="00B04C92" w:rsidP="006D3EF6">
      <w:pPr>
        <w:pStyle w:val="Titre1"/>
        <w:keepNext w:val="0"/>
        <w:keepLines w:val="0"/>
        <w:spacing w:before="0" w:after="200" w:line="276" w:lineRule="auto"/>
        <w:ind w:left="360" w:hanging="360"/>
        <w:jc w:val="left"/>
        <w:rPr>
          <w:rFonts w:ascii="Arial" w:hAnsi="Arial"/>
          <w:b/>
          <w:bCs/>
          <w:sz w:val="28"/>
          <w:szCs w:val="26"/>
          <w:u w:val="none"/>
        </w:rPr>
      </w:pPr>
      <w:bookmarkStart w:id="4" w:name="_Toc33187287"/>
      <w:r w:rsidRPr="006D3EF6">
        <w:rPr>
          <w:rFonts w:ascii="Arial" w:hAnsi="Arial"/>
          <w:b/>
          <w:bCs/>
          <w:sz w:val="28"/>
          <w:szCs w:val="26"/>
          <w:u w:val="none"/>
        </w:rPr>
        <w:t>La structure de consommation des ménages</w:t>
      </w:r>
      <w:bookmarkEnd w:id="4"/>
    </w:p>
    <w:p w:rsidR="00F42A3F" w:rsidRPr="00F42A3F" w:rsidRDefault="00F42A3F" w:rsidP="00F42A3F">
      <w:pPr>
        <w:jc w:val="center"/>
        <w:rPr>
          <w:b/>
        </w:rPr>
      </w:pPr>
      <w:r w:rsidRPr="00F42A3F">
        <w:rPr>
          <w:b/>
        </w:rPr>
        <w:t>Extraits du programme d’économie de la classe de première STMG</w:t>
      </w:r>
    </w:p>
    <w:p w:rsidR="00F42A3F" w:rsidRPr="00F42A3F" w:rsidRDefault="00F42A3F" w:rsidP="00F4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2962"/>
        <w:gridCol w:w="2962"/>
      </w:tblGrid>
      <w:tr w:rsidR="00F42A3F" w:rsidTr="00F42A3F">
        <w:trPr>
          <w:trHeight w:val="1367"/>
        </w:trPr>
        <w:tc>
          <w:tcPr>
            <w:tcW w:w="2962" w:type="dxa"/>
          </w:tcPr>
          <w:p w:rsidR="00F42A3F" w:rsidRDefault="00F42A3F">
            <w:pPr>
              <w:pStyle w:val="Default"/>
              <w:rPr>
                <w:sz w:val="22"/>
                <w:szCs w:val="22"/>
              </w:rPr>
            </w:pPr>
            <w:r>
              <w:rPr>
                <w:b/>
                <w:bCs/>
                <w:sz w:val="22"/>
                <w:szCs w:val="22"/>
              </w:rPr>
              <w:t xml:space="preserve">III.3. La structure de consommation des ménages </w:t>
            </w:r>
          </w:p>
        </w:tc>
        <w:tc>
          <w:tcPr>
            <w:tcW w:w="2962" w:type="dxa"/>
          </w:tcPr>
          <w:p w:rsidR="00F42A3F" w:rsidRDefault="00F42A3F">
            <w:pPr>
              <w:pStyle w:val="Default"/>
              <w:rPr>
                <w:sz w:val="22"/>
                <w:szCs w:val="22"/>
              </w:rPr>
            </w:pPr>
            <w:r>
              <w:rPr>
                <w:sz w:val="22"/>
                <w:szCs w:val="22"/>
              </w:rPr>
              <w:t xml:space="preserve">Les coefficients budgétaires permettent d’appréhender la structure de consommation des ménages. En valeur sur les cinquante dernières années, ils ont fortement évolué. La part de l’alimentation baisse au profit des dépenses de transport, de logement, de santé, des dépenses de loisirs et de services. En volume cependant, les structures sont plus stables. La part des services dans la structure de consommation augmente notamment parce que son prix relatif par rapport aux produits industriels augmente fortement. </w:t>
            </w:r>
          </w:p>
        </w:tc>
        <w:tc>
          <w:tcPr>
            <w:tcW w:w="2962" w:type="dxa"/>
          </w:tcPr>
          <w:p w:rsidR="00F42A3F" w:rsidRDefault="00F42A3F">
            <w:pPr>
              <w:pStyle w:val="Default"/>
              <w:rPr>
                <w:sz w:val="22"/>
                <w:szCs w:val="22"/>
              </w:rPr>
            </w:pPr>
            <w:r>
              <w:rPr>
                <w:sz w:val="22"/>
                <w:szCs w:val="22"/>
              </w:rPr>
              <w:t xml:space="preserve">La composition des dépenses des ménages. </w:t>
            </w:r>
          </w:p>
          <w:p w:rsidR="00F42A3F" w:rsidRDefault="00F42A3F">
            <w:pPr>
              <w:pStyle w:val="Default"/>
              <w:rPr>
                <w:sz w:val="22"/>
                <w:szCs w:val="22"/>
              </w:rPr>
            </w:pPr>
            <w:r>
              <w:rPr>
                <w:sz w:val="22"/>
                <w:szCs w:val="22"/>
              </w:rPr>
              <w:t xml:space="preserve">Les coefficients budgétaires. </w:t>
            </w:r>
          </w:p>
          <w:p w:rsidR="00F42A3F" w:rsidRDefault="00F42A3F">
            <w:pPr>
              <w:pStyle w:val="Default"/>
              <w:rPr>
                <w:sz w:val="22"/>
                <w:szCs w:val="22"/>
              </w:rPr>
            </w:pPr>
            <w:r>
              <w:rPr>
                <w:sz w:val="22"/>
                <w:szCs w:val="22"/>
              </w:rPr>
              <w:t xml:space="preserve">Les prix relatifs comparés des biens et services. </w:t>
            </w:r>
          </w:p>
        </w:tc>
      </w:tr>
    </w:tbl>
    <w:p w:rsidR="00B04C92" w:rsidRDefault="00B04C92" w:rsidP="00B04C92"/>
    <w:p w:rsidR="002A2717" w:rsidRDefault="00B04C92" w:rsidP="00B04C92">
      <w:r>
        <w:t>La structure de la consommation a beaucoup évolué depuis les deux révolutions industrielles. Parmi les facteurs explicatifs de cette tendance, on trouve</w:t>
      </w:r>
      <w:r w:rsidR="002A2717">
        <w:t> :</w:t>
      </w:r>
    </w:p>
    <w:p w:rsidR="002A2717" w:rsidRDefault="002A2717" w:rsidP="00B04C92"/>
    <w:p w:rsidR="00B04C92" w:rsidRDefault="00B04C92" w:rsidP="002A2717">
      <w:pPr>
        <w:pStyle w:val="Paragraphedeliste"/>
        <w:numPr>
          <w:ilvl w:val="0"/>
          <w:numId w:val="14"/>
        </w:numPr>
      </w:pPr>
      <w:r>
        <w:t>la hausse du pouvoir d’achat des ménages. Ceux-ci vont alors consacrer une part plus faible de leurs ressources à la consommation de certains biens prioritaires, tandis que la part de biens supérieurs</w:t>
      </w:r>
      <w:r w:rsidR="002A2717">
        <w:t xml:space="preserve"> augmente</w:t>
      </w:r>
      <w:r>
        <w:t>. Cette tendance correspond bien à la loi d’Engel (1857) du nom de l’économiste prussien qui l’a mise en évidence</w:t>
      </w:r>
      <w:r w:rsidR="002A2717">
        <w:t>.</w:t>
      </w:r>
    </w:p>
    <w:p w:rsidR="002A2717" w:rsidRDefault="002A2717" w:rsidP="002A2717">
      <w:pPr>
        <w:pStyle w:val="Paragraphedeliste"/>
        <w:numPr>
          <w:ilvl w:val="0"/>
          <w:numId w:val="14"/>
        </w:numPr>
      </w:pPr>
      <w:r>
        <w:t>La modification des prix relatifs des biens et services. Un prix relatif correspond au prix d’un bien ou d’un service par rapport au prix d’un autre bien ou d’un autre service. Par exemple, si le prix d’une baguette de pain vaut 1€</w:t>
      </w:r>
      <w:r w:rsidR="00142B02">
        <w:t xml:space="preserve"> en 2015 et en 2019, tandis que dans le même temps le prix des smartphones passe de 200€ à 150€, nous dirons que le prix relatif des smartphones par rapport à celui du pain a baissé.</w:t>
      </w:r>
    </w:p>
    <w:p w:rsidR="00EA20AE" w:rsidRDefault="00EA20AE" w:rsidP="00B04C92"/>
    <w:p w:rsidR="00EA20AE" w:rsidRDefault="00EA20AE" w:rsidP="00B04C92">
      <w:r w:rsidRPr="00EA20AE">
        <w:lastRenderedPageBreak/>
        <w:t>Lorsque le</w:t>
      </w:r>
      <w:r>
        <w:t>urs</w:t>
      </w:r>
      <w:r w:rsidRPr="00EA20AE">
        <w:t xml:space="preserve"> revenus sont faibles, </w:t>
      </w:r>
      <w:r>
        <w:t>les agents consomment</w:t>
      </w:r>
      <w:r w:rsidRPr="00EA20AE">
        <w:t xml:space="preserve"> essentiellement </w:t>
      </w:r>
      <w:r>
        <w:t>des</w:t>
      </w:r>
      <w:r w:rsidRPr="00EA20AE">
        <w:t xml:space="preserve"> biens prioritaires pour répondre à leurs besoins primaires. </w:t>
      </w:r>
      <w:r>
        <w:t>Néanmoins, à mesure qu’ils s’enrichissent</w:t>
      </w:r>
      <w:r w:rsidRPr="00EA20AE">
        <w:t>, la part du revenu affectée aux bien</w:t>
      </w:r>
      <w:r>
        <w:t>s</w:t>
      </w:r>
      <w:r w:rsidRPr="00EA20AE">
        <w:t xml:space="preserve"> supérieurs augmente </w:t>
      </w:r>
      <w:r>
        <w:t>afin</w:t>
      </w:r>
      <w:r w:rsidRPr="00EA20AE">
        <w:t xml:space="preserve"> de répondre aux besoins secondaires.</w:t>
      </w:r>
    </w:p>
    <w:p w:rsidR="00B04C92" w:rsidRDefault="00B04C92" w:rsidP="00B04C92"/>
    <w:p w:rsidR="00B04C92" w:rsidRDefault="00B04C92" w:rsidP="00B04C92">
      <w:r>
        <w:t>Le graphique ci-dessous représente les coefficients budgétaires pour les principaux de dépense des ménages français entre 1960 et 2007</w:t>
      </w:r>
      <w:r w:rsidR="00C05AE4">
        <w:t>.</w:t>
      </w:r>
      <w:r w:rsidR="00711523">
        <w:t xml:space="preserve"> </w:t>
      </w:r>
      <w:r w:rsidR="00C05AE4">
        <w:t>On observe ainsi que les biens manufacturés représentent environ 25% des dépenses des ménages en France en 2007.</w:t>
      </w:r>
    </w:p>
    <w:p w:rsidR="00B04C92" w:rsidRDefault="00B04C92" w:rsidP="00B04C92"/>
    <w:p w:rsidR="00B04C92" w:rsidRDefault="00B04C92" w:rsidP="00B04C92">
      <w:r w:rsidRPr="00A61871">
        <w:rPr>
          <w:noProof/>
          <w:lang w:eastAsia="fr-FR"/>
        </w:rPr>
        <w:drawing>
          <wp:inline distT="0" distB="0" distL="0" distR="0" wp14:anchorId="0E6B3489" wp14:editId="41CB16DB">
            <wp:extent cx="3313518" cy="2648585"/>
            <wp:effectExtent l="0" t="0" r="127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2472"/>
                    <a:stretch/>
                  </pic:blipFill>
                  <pic:spPr bwMode="auto">
                    <a:xfrm>
                      <a:off x="0" y="0"/>
                      <a:ext cx="3314027" cy="2648992"/>
                    </a:xfrm>
                    <a:prstGeom prst="rect">
                      <a:avLst/>
                    </a:prstGeom>
                    <a:noFill/>
                    <a:ln>
                      <a:noFill/>
                    </a:ln>
                    <a:extLst>
                      <a:ext uri="{53640926-AAD7-44D8-BBD7-CCE9431645EC}">
                        <a14:shadowObscured xmlns:a14="http://schemas.microsoft.com/office/drawing/2010/main"/>
                      </a:ext>
                    </a:extLst>
                  </pic:spPr>
                </pic:pic>
              </a:graphicData>
            </a:graphic>
          </wp:inline>
        </w:drawing>
      </w:r>
    </w:p>
    <w:p w:rsidR="00B04C92" w:rsidRDefault="00B04C92" w:rsidP="00B04C92">
      <w:pPr>
        <w:rPr>
          <w:rStyle w:val="Lienhypertexte"/>
          <w:color w:val="000000" w:themeColor="text1"/>
          <w:u w:val="none"/>
        </w:rPr>
      </w:pPr>
      <w:r>
        <w:t xml:space="preserve">Source : </w:t>
      </w:r>
      <w:r w:rsidRPr="00B04C92">
        <w:rPr>
          <w:rStyle w:val="Lienhypertexte"/>
          <w:color w:val="000000" w:themeColor="text1"/>
          <w:u w:val="none"/>
        </w:rPr>
        <w:t>INSEE, comptes nationaux, base 2000</w:t>
      </w:r>
    </w:p>
    <w:p w:rsidR="00142B02" w:rsidRDefault="00142B02" w:rsidP="00B04C92">
      <w:pPr>
        <w:rPr>
          <w:rStyle w:val="Lienhypertexte"/>
          <w:color w:val="000000" w:themeColor="text1"/>
          <w:u w:val="none"/>
        </w:rPr>
      </w:pPr>
    </w:p>
    <w:p w:rsidR="00142B02" w:rsidRDefault="00142B02" w:rsidP="00B04C92">
      <w:pPr>
        <w:rPr>
          <w:rStyle w:val="Lienhypertexte"/>
          <w:color w:val="000000" w:themeColor="text1"/>
          <w:u w:val="none"/>
        </w:rPr>
      </w:pPr>
      <w:r>
        <w:rPr>
          <w:rStyle w:val="Lienhypertexte"/>
          <w:color w:val="000000" w:themeColor="text1"/>
          <w:u w:val="none"/>
        </w:rPr>
        <w:t>Si l’on effectue cette même analyse mais en volume (on considère que les prix des biens et services sont constants, les prix sont ceux de 1980 sur le graphique ci-dessous), on observe une relative constance de la structure de consommation des ménages.</w:t>
      </w:r>
    </w:p>
    <w:p w:rsidR="00142B02" w:rsidRDefault="00142B02" w:rsidP="00B04C92">
      <w:pPr>
        <w:rPr>
          <w:rStyle w:val="Lienhypertexte"/>
          <w:color w:val="000000" w:themeColor="text1"/>
          <w:u w:val="none"/>
        </w:rPr>
      </w:pPr>
    </w:p>
    <w:p w:rsidR="00142B02" w:rsidRDefault="00142B02" w:rsidP="00B04C92">
      <w:r w:rsidRPr="00142B02">
        <w:rPr>
          <w:noProof/>
          <w:lang w:eastAsia="fr-FR"/>
        </w:rPr>
        <w:drawing>
          <wp:inline distT="0" distB="0" distL="0" distR="0" wp14:anchorId="2738940B" wp14:editId="40944496">
            <wp:extent cx="5124450" cy="3229330"/>
            <wp:effectExtent l="0" t="0" r="0" b="952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8458" cy="3244460"/>
                    </a:xfrm>
                    <a:prstGeom prst="rect">
                      <a:avLst/>
                    </a:prstGeom>
                    <a:noFill/>
                    <a:ln>
                      <a:noFill/>
                    </a:ln>
                  </pic:spPr>
                </pic:pic>
              </a:graphicData>
            </a:graphic>
          </wp:inline>
        </w:drawing>
      </w:r>
    </w:p>
    <w:p w:rsidR="00B04C92" w:rsidRDefault="00B04C92" w:rsidP="00B04C92"/>
    <w:p w:rsidR="00142B02" w:rsidRDefault="00142B02" w:rsidP="00B04C92">
      <w:r>
        <w:t>Ainsi, si le poids des services augmente dans les dépenses</w:t>
      </w:r>
      <w:r w:rsidR="002A2FA2">
        <w:t xml:space="preserve"> (en valeur)</w:t>
      </w:r>
      <w:r>
        <w:t xml:space="preserve"> des ménages, ce n’est pas tant qu’ils en consomment plus en volume (presque constant), mais c’est qu’ils maintiennent leur niveau </w:t>
      </w:r>
      <w:r>
        <w:lastRenderedPageBreak/>
        <w:t xml:space="preserve">de consommation de ces services malgré la hausse de leur prix. </w:t>
      </w:r>
      <w:r w:rsidR="002A2FA2">
        <w:t>Pour les biens manufacturés, les consommateurs demandent plus de ces biens (hausse de leur consommation en volume), mais la baisse de leur prix relatif est telle que leur poids dans les dépenses des ménages diminue. Il est ici possible d’introduire les thématiques de terminale : le rôle du commerce international, le progrès technique…</w:t>
      </w:r>
    </w:p>
    <w:p w:rsidR="00142B02" w:rsidRDefault="00142B02" w:rsidP="00B04C92"/>
    <w:p w:rsidR="00513A4F" w:rsidRDefault="00513A4F" w:rsidP="00513A4F">
      <w:r>
        <w:t xml:space="preserve">La structure de consommation des ménages affecte l’évolution de leur pouvoir d’achat. Par exemple, si l’on compare les effets d’un doublement du prix du pain, à ceux d’un doublement du prix de voitures </w:t>
      </w:r>
      <w:r w:rsidR="00142B02">
        <w:t>hauts de gamme</w:t>
      </w:r>
      <w:r>
        <w:t xml:space="preserve">, la hausse du prix du pain affectera bien plus le pouvoir d’achat des ménages français que la hausse du prix </w:t>
      </w:r>
      <w:r w:rsidR="00FC414C">
        <w:t>des bolides</w:t>
      </w:r>
      <w:r>
        <w:t>.</w:t>
      </w:r>
    </w:p>
    <w:p w:rsidR="00513A4F" w:rsidRDefault="00513A4F" w:rsidP="00B04C92"/>
    <w:p w:rsidR="00142B02" w:rsidRDefault="00B04C92" w:rsidP="00B04C92">
      <w:r>
        <w:t>La hausse du pouvoir d’achat a permis de faciliter l’accès à des technologies qui améliorent l’efficacité du travail domestique.</w:t>
      </w:r>
      <w:r w:rsidR="00B6703C">
        <w:t xml:space="preserve"> Il faut toutefois noter que certaines de ces dépenses</w:t>
      </w:r>
      <w:r w:rsidR="00711523">
        <w:t>,</w:t>
      </w:r>
      <w:r w:rsidR="00B6703C">
        <w:t xml:space="preserve"> liées aux nouvelles technologies</w:t>
      </w:r>
      <w:r w:rsidR="00711523">
        <w:t xml:space="preserve"> et aux logements</w:t>
      </w:r>
      <w:r w:rsidR="00B6703C">
        <w:t xml:space="preserve"> réduisent le revenu disponible arbitrable (voir encadré 1).</w:t>
      </w:r>
    </w:p>
    <w:p w:rsidR="00B04C92" w:rsidRDefault="00B04C92"/>
    <w:p w:rsidR="006176F3" w:rsidRDefault="00B6703C" w:rsidP="00B6703C">
      <w:pPr>
        <w:pBdr>
          <w:top w:val="single" w:sz="4" w:space="1" w:color="auto"/>
          <w:left w:val="single" w:sz="4" w:space="4" w:color="auto"/>
          <w:bottom w:val="single" w:sz="4" w:space="1" w:color="auto"/>
          <w:right w:val="single" w:sz="4" w:space="4" w:color="auto"/>
        </w:pBdr>
      </w:pPr>
      <w:r w:rsidRPr="00B6703C">
        <w:rPr>
          <w:u w:val="single"/>
        </w:rPr>
        <w:t>Encadré 1</w:t>
      </w:r>
      <w:r>
        <w:t> : du revenu disponible au revenu arbitrable des ménages</w:t>
      </w:r>
    </w:p>
    <w:p w:rsidR="00B6703C" w:rsidRDefault="00B6703C" w:rsidP="00B6703C">
      <w:pPr>
        <w:pBdr>
          <w:top w:val="single" w:sz="4" w:space="1" w:color="auto"/>
          <w:left w:val="single" w:sz="4" w:space="4" w:color="auto"/>
          <w:bottom w:val="single" w:sz="4" w:space="1" w:color="auto"/>
          <w:right w:val="single" w:sz="4" w:space="4" w:color="auto"/>
        </w:pBdr>
      </w:pPr>
    </w:p>
    <w:p w:rsidR="00B6703C" w:rsidRDefault="00B6703C" w:rsidP="00B6703C">
      <w:pPr>
        <w:pBdr>
          <w:top w:val="single" w:sz="4" w:space="1" w:color="auto"/>
          <w:left w:val="single" w:sz="4" w:space="4" w:color="auto"/>
          <w:bottom w:val="single" w:sz="4" w:space="1" w:color="auto"/>
          <w:right w:val="single" w:sz="4" w:space="4" w:color="auto"/>
        </w:pBdr>
      </w:pPr>
      <w:r>
        <w:t xml:space="preserve">Le revenu disponible des ménages leur permet d’acquérir des produits. Néanmoins, certaines de ces dépenses ne sont pas réellement modifiables à court terme. L’INSEE les qualifient de dépenses « pré-engagées », mais elles sont aussi appelées dépenses </w:t>
      </w:r>
      <w:r w:rsidR="00711523">
        <w:t>« </w:t>
      </w:r>
      <w:r>
        <w:t>contraintes</w:t>
      </w:r>
      <w:r w:rsidR="00711523">
        <w:t> »</w:t>
      </w:r>
      <w:r>
        <w:t>. Plus précisément, les dépenses pré-engagées sont définies comme suit par l’INSEE :</w:t>
      </w:r>
    </w:p>
    <w:p w:rsidR="00B6703C" w:rsidRDefault="00B6703C" w:rsidP="00B6703C">
      <w:pPr>
        <w:pBdr>
          <w:top w:val="single" w:sz="4" w:space="1" w:color="auto"/>
          <w:left w:val="single" w:sz="4" w:space="4" w:color="auto"/>
          <w:bottom w:val="single" w:sz="4" w:space="1" w:color="auto"/>
          <w:right w:val="single" w:sz="4" w:space="4" w:color="auto"/>
        </w:pBdr>
      </w:pPr>
    </w:p>
    <w:p w:rsidR="00B6703C" w:rsidRPr="00B6703C" w:rsidRDefault="00B6703C" w:rsidP="00B6703C">
      <w:pPr>
        <w:pBdr>
          <w:top w:val="single" w:sz="4" w:space="1" w:color="auto"/>
          <w:left w:val="single" w:sz="4" w:space="4" w:color="auto"/>
          <w:bottom w:val="single" w:sz="4" w:space="1" w:color="auto"/>
          <w:right w:val="single" w:sz="4" w:space="4" w:color="auto"/>
        </w:pBdr>
        <w:rPr>
          <w:i/>
        </w:rPr>
      </w:pPr>
      <w:r w:rsidRPr="00B6703C">
        <w:rPr>
          <w:i/>
        </w:rPr>
        <w:t>Ensemble des dépenses des ménages réalisées dans le cadre d'un contrat difficilement renégociable à court terme.</w:t>
      </w:r>
      <w:r>
        <w:rPr>
          <w:i/>
        </w:rPr>
        <w:t xml:space="preserve"> </w:t>
      </w:r>
      <w:r w:rsidRPr="00B6703C">
        <w:rPr>
          <w:i/>
        </w:rPr>
        <w:t>Elles sont définies comme suit :</w:t>
      </w:r>
    </w:p>
    <w:p w:rsidR="00B6703C" w:rsidRPr="00B6703C" w:rsidRDefault="00B6703C" w:rsidP="00B6703C">
      <w:pPr>
        <w:pStyle w:val="Paragraphedeliste"/>
        <w:numPr>
          <w:ilvl w:val="0"/>
          <w:numId w:val="15"/>
        </w:numPr>
        <w:pBdr>
          <w:top w:val="single" w:sz="4" w:space="1" w:color="auto"/>
          <w:left w:val="single" w:sz="4" w:space="4" w:color="auto"/>
          <w:bottom w:val="single" w:sz="4" w:space="1" w:color="auto"/>
          <w:right w:val="single" w:sz="4" w:space="4" w:color="auto"/>
        </w:pBdr>
        <w:ind w:left="0" w:firstLine="0"/>
        <w:rPr>
          <w:i/>
        </w:rPr>
      </w:pPr>
      <w:r w:rsidRPr="00B6703C">
        <w:rPr>
          <w:i/>
        </w:rPr>
        <w:t>dépenses liées au logement (y compris,  dans le cas de la comptabilité nationale, les loyers imputés), ainsi que celles relatives à l'eau, au gaz, à   l'électricité et aux autres combustibles utilisés dans les habitations ;</w:t>
      </w:r>
    </w:p>
    <w:p w:rsidR="00B6703C" w:rsidRPr="00B6703C" w:rsidRDefault="00B6703C" w:rsidP="00711523">
      <w:pPr>
        <w:pStyle w:val="Paragraphedeliste"/>
        <w:numPr>
          <w:ilvl w:val="0"/>
          <w:numId w:val="15"/>
        </w:numPr>
        <w:pBdr>
          <w:top w:val="single" w:sz="4" w:space="1" w:color="auto"/>
          <w:left w:val="single" w:sz="4" w:space="4" w:color="auto"/>
          <w:bottom w:val="single" w:sz="4" w:space="1" w:color="auto"/>
          <w:right w:val="single" w:sz="4" w:space="4" w:color="auto"/>
        </w:pBdr>
        <w:ind w:left="0" w:firstLine="0"/>
        <w:rPr>
          <w:i/>
        </w:rPr>
      </w:pPr>
      <w:r w:rsidRPr="00B6703C">
        <w:rPr>
          <w:i/>
        </w:rPr>
        <w:t>services de télécommunications ;</w:t>
      </w:r>
    </w:p>
    <w:p w:rsidR="00B6703C" w:rsidRPr="00B6703C" w:rsidRDefault="00B6703C" w:rsidP="00B6703C">
      <w:pPr>
        <w:pStyle w:val="Paragraphedeliste"/>
        <w:numPr>
          <w:ilvl w:val="0"/>
          <w:numId w:val="15"/>
        </w:numPr>
        <w:pBdr>
          <w:top w:val="single" w:sz="4" w:space="1" w:color="auto"/>
          <w:left w:val="single" w:sz="4" w:space="4" w:color="auto"/>
          <w:bottom w:val="single" w:sz="4" w:space="1" w:color="auto"/>
          <w:right w:val="single" w:sz="4" w:space="4" w:color="auto"/>
        </w:pBdr>
        <w:ind w:left="0" w:firstLine="0"/>
        <w:rPr>
          <w:i/>
        </w:rPr>
      </w:pPr>
      <w:r w:rsidRPr="00B6703C">
        <w:rPr>
          <w:i/>
        </w:rPr>
        <w:t>frais de cantine ;</w:t>
      </w:r>
    </w:p>
    <w:p w:rsidR="00B6703C" w:rsidRPr="00B6703C" w:rsidRDefault="00B6703C" w:rsidP="00B6703C">
      <w:pPr>
        <w:pStyle w:val="Paragraphedeliste"/>
        <w:numPr>
          <w:ilvl w:val="0"/>
          <w:numId w:val="15"/>
        </w:numPr>
        <w:pBdr>
          <w:top w:val="single" w:sz="4" w:space="1" w:color="auto"/>
          <w:left w:val="single" w:sz="4" w:space="4" w:color="auto"/>
          <w:bottom w:val="single" w:sz="4" w:space="1" w:color="auto"/>
          <w:right w:val="single" w:sz="4" w:space="4" w:color="auto"/>
        </w:pBdr>
        <w:ind w:left="0" w:firstLine="0"/>
        <w:rPr>
          <w:i/>
        </w:rPr>
      </w:pPr>
      <w:r w:rsidRPr="00B6703C">
        <w:rPr>
          <w:i/>
        </w:rPr>
        <w:t>services de télévision (redevance télévisuelle, abonnements à des chaînes payantes)</w:t>
      </w:r>
      <w:r w:rsidR="0078278D">
        <w:rPr>
          <w:i/>
        </w:rPr>
        <w:t xml:space="preserve"> </w:t>
      </w:r>
      <w:r w:rsidRPr="00B6703C">
        <w:rPr>
          <w:i/>
        </w:rPr>
        <w:t>;</w:t>
      </w:r>
    </w:p>
    <w:p w:rsidR="00B6703C" w:rsidRPr="00B6703C" w:rsidRDefault="00B6703C" w:rsidP="00B6703C">
      <w:pPr>
        <w:pStyle w:val="Paragraphedeliste"/>
        <w:numPr>
          <w:ilvl w:val="0"/>
          <w:numId w:val="15"/>
        </w:numPr>
        <w:pBdr>
          <w:top w:val="single" w:sz="4" w:space="1" w:color="auto"/>
          <w:left w:val="single" w:sz="4" w:space="4" w:color="auto"/>
          <w:bottom w:val="single" w:sz="4" w:space="1" w:color="auto"/>
          <w:right w:val="single" w:sz="4" w:space="4" w:color="auto"/>
        </w:pBdr>
        <w:ind w:left="0" w:firstLine="0"/>
        <w:rPr>
          <w:i/>
        </w:rPr>
      </w:pPr>
      <w:r w:rsidRPr="00B6703C">
        <w:rPr>
          <w:i/>
        </w:rPr>
        <w:t>assurances (hors assurance-vie) ;</w:t>
      </w:r>
    </w:p>
    <w:p w:rsidR="00B6703C" w:rsidRPr="00B6703C" w:rsidRDefault="00B6703C" w:rsidP="00B6703C">
      <w:pPr>
        <w:pStyle w:val="Paragraphedeliste"/>
        <w:numPr>
          <w:ilvl w:val="0"/>
          <w:numId w:val="15"/>
        </w:numPr>
        <w:pBdr>
          <w:top w:val="single" w:sz="4" w:space="1" w:color="auto"/>
          <w:left w:val="single" w:sz="4" w:space="4" w:color="auto"/>
          <w:bottom w:val="single" w:sz="4" w:space="1" w:color="auto"/>
          <w:right w:val="single" w:sz="4" w:space="4" w:color="auto"/>
        </w:pBdr>
        <w:ind w:left="0" w:firstLine="0"/>
        <w:rPr>
          <w:i/>
        </w:rPr>
      </w:pPr>
      <w:r w:rsidRPr="00B6703C">
        <w:rPr>
          <w:i/>
        </w:rPr>
        <w:t>services financiers (y compris, dans le cas de la comptabilité nationale, les services d'intermédiation financière indirectement mesurés).</w:t>
      </w:r>
    </w:p>
    <w:p w:rsidR="00B6703C" w:rsidRDefault="00B6703C" w:rsidP="00B6703C">
      <w:pPr>
        <w:pBdr>
          <w:top w:val="single" w:sz="4" w:space="1" w:color="auto"/>
          <w:left w:val="single" w:sz="4" w:space="4" w:color="auto"/>
          <w:bottom w:val="single" w:sz="4" w:space="1" w:color="auto"/>
          <w:right w:val="single" w:sz="4" w:space="4" w:color="auto"/>
        </w:pBdr>
      </w:pPr>
    </w:p>
    <w:p w:rsidR="00B6703C" w:rsidRDefault="00B6703C" w:rsidP="00B6703C">
      <w:pPr>
        <w:pBdr>
          <w:top w:val="single" w:sz="4" w:space="1" w:color="auto"/>
          <w:left w:val="single" w:sz="4" w:space="4" w:color="auto"/>
          <w:bottom w:val="single" w:sz="4" w:space="1" w:color="auto"/>
          <w:right w:val="single" w:sz="4" w:space="4" w:color="auto"/>
        </w:pBdr>
      </w:pPr>
      <w:r>
        <w:t xml:space="preserve">Or, la part de ces dépenses contraintes dans la dépense de consommation finale des ménages est passée de 14,7% en 1959 à 33,7% en 2016. Autrement dit, près du tiers des dépenses de consommation des ménages ne font pas réellement l’objet d’un arbitrage à court terme. </w:t>
      </w:r>
    </w:p>
    <w:p w:rsidR="00B6703C" w:rsidRDefault="00B6703C" w:rsidP="00B6703C">
      <w:pPr>
        <w:pBdr>
          <w:top w:val="single" w:sz="4" w:space="1" w:color="auto"/>
          <w:left w:val="single" w:sz="4" w:space="4" w:color="auto"/>
          <w:bottom w:val="single" w:sz="4" w:space="1" w:color="auto"/>
          <w:right w:val="single" w:sz="4" w:space="4" w:color="auto"/>
        </w:pBdr>
      </w:pPr>
    </w:p>
    <w:p w:rsidR="00B6703C" w:rsidRDefault="00B6703C" w:rsidP="00B6703C">
      <w:pPr>
        <w:pBdr>
          <w:top w:val="single" w:sz="4" w:space="1" w:color="auto"/>
          <w:left w:val="single" w:sz="4" w:space="4" w:color="auto"/>
          <w:bottom w:val="single" w:sz="4" w:space="1" w:color="auto"/>
          <w:right w:val="single" w:sz="4" w:space="4" w:color="auto"/>
        </w:pBdr>
      </w:pPr>
      <w:r>
        <w:t>Les services de télécommunication et de télévision représentent 7,7% de ces dépenses contraintes, tandis que le logement, l’eau, le gaz, l’électricité et les autres combustibles représentent 77,9% de ces dépenses contraintes.</w:t>
      </w:r>
    </w:p>
    <w:p w:rsidR="00B6703C" w:rsidRDefault="00B6703C"/>
    <w:p w:rsidR="005C550B" w:rsidRDefault="005C550B">
      <w:pPr>
        <w:spacing w:after="160" w:line="259" w:lineRule="auto"/>
        <w:jc w:val="left"/>
      </w:pPr>
      <w:r>
        <w:br w:type="page"/>
      </w:r>
    </w:p>
    <w:p w:rsidR="00B6703C" w:rsidRPr="005C550B" w:rsidRDefault="005C550B" w:rsidP="00E4138D">
      <w:pPr>
        <w:jc w:val="right"/>
        <w:rPr>
          <w:b/>
        </w:rPr>
      </w:pPr>
      <w:r w:rsidRPr="005C550B">
        <w:rPr>
          <w:b/>
        </w:rPr>
        <w:lastRenderedPageBreak/>
        <w:t>Auteur : Christophe Hachon</w:t>
      </w:r>
    </w:p>
    <w:p w:rsidR="005C550B" w:rsidRDefault="005C550B"/>
    <w:p w:rsidR="006176F3" w:rsidRPr="00743AAF" w:rsidRDefault="006176F3">
      <w:pPr>
        <w:rPr>
          <w:b/>
        </w:rPr>
      </w:pPr>
      <w:r w:rsidRPr="00743AAF">
        <w:rPr>
          <w:b/>
        </w:rPr>
        <w:t>Webographie :</w:t>
      </w:r>
    </w:p>
    <w:p w:rsidR="006176F3" w:rsidRDefault="0074706C">
      <w:hyperlink r:id="rId15" w:history="1">
        <w:r w:rsidR="006176F3" w:rsidRPr="00144FFD">
          <w:rPr>
            <w:rStyle w:val="Lienhypertexte"/>
          </w:rPr>
          <w:t>www.insee.fr</w:t>
        </w:r>
      </w:hyperlink>
    </w:p>
    <w:p w:rsidR="006176F3" w:rsidRDefault="0074706C">
      <w:hyperlink r:id="rId16" w:history="1">
        <w:r w:rsidR="006176F3" w:rsidRPr="00144FFD">
          <w:rPr>
            <w:rStyle w:val="Lienhypertexte"/>
          </w:rPr>
          <w:t>www.oecd.org</w:t>
        </w:r>
      </w:hyperlink>
    </w:p>
    <w:p w:rsidR="006176F3" w:rsidRDefault="0074706C">
      <w:hyperlink r:id="rId17" w:history="1">
        <w:r w:rsidR="00743AAF" w:rsidRPr="006F2482">
          <w:rPr>
            <w:rStyle w:val="Lienhypertexte"/>
          </w:rPr>
          <w:t>www.inegalites.fr</w:t>
        </w:r>
      </w:hyperlink>
    </w:p>
    <w:p w:rsidR="00743AAF" w:rsidRDefault="00743AAF"/>
    <w:p w:rsidR="00CB56FE" w:rsidRDefault="00CB56FE">
      <w:r>
        <w:t>Bibliographie</w:t>
      </w:r>
    </w:p>
    <w:p w:rsidR="00CB56FE" w:rsidRDefault="00CB56FE"/>
    <w:p w:rsidR="00CB56FE" w:rsidRDefault="00CB56FE">
      <w:r>
        <w:t>INSEE, Le revenu et le patrimoine des ménages (</w:t>
      </w:r>
      <w:r w:rsidRPr="00CB56FE">
        <w:rPr>
          <w:i/>
        </w:rPr>
        <w:t>enquête annuelle</w:t>
      </w:r>
      <w:r>
        <w:t>).</w:t>
      </w:r>
    </w:p>
    <w:p w:rsidR="00142B02" w:rsidRDefault="00142B02">
      <w:r>
        <w:t>INSEE, Cinquante ans de consommation en France, Edition 2009.</w:t>
      </w:r>
    </w:p>
    <w:p w:rsidR="00CB56FE" w:rsidRDefault="00CB56FE">
      <w:r>
        <w:t>Piketty T., Le capital au XXIème siècle, Seuil.</w:t>
      </w:r>
    </w:p>
    <w:p w:rsidR="00A611AA" w:rsidRDefault="00A611AA"/>
    <w:p w:rsidR="00A611AA" w:rsidRPr="00E85945" w:rsidRDefault="00A611AA" w:rsidP="00A611AA">
      <w:pPr>
        <w:outlineLvl w:val="0"/>
        <w:rPr>
          <w:rFonts w:eastAsia="Times New Roman"/>
          <w:bCs/>
          <w:kern w:val="36"/>
          <w:sz w:val="20"/>
          <w:szCs w:val="20"/>
          <w:lang w:eastAsia="fr-FR"/>
        </w:rPr>
      </w:pPr>
      <w:r w:rsidRPr="00E85945">
        <w:rPr>
          <w:rFonts w:eastAsia="Times New Roman"/>
          <w:bCs/>
          <w:kern w:val="36"/>
          <w:sz w:val="20"/>
          <w:szCs w:val="20"/>
          <w:lang w:eastAsia="fr-FR"/>
        </w:rPr>
        <w:t xml:space="preserve">La mesure du pouvoir d’achat </w:t>
      </w:r>
    </w:p>
    <w:p w:rsidR="00A611AA" w:rsidRDefault="0074706C" w:rsidP="00A611AA">
      <w:pPr>
        <w:rPr>
          <w:rStyle w:val="Lienhypertexte"/>
          <w:rFonts w:eastAsia="Times New Roman"/>
          <w:bCs/>
          <w:kern w:val="36"/>
          <w:sz w:val="20"/>
          <w:szCs w:val="20"/>
          <w:lang w:eastAsia="fr-FR"/>
        </w:rPr>
      </w:pPr>
      <w:hyperlink r:id="rId18" w:history="1">
        <w:r w:rsidR="00A611AA" w:rsidRPr="00E85945">
          <w:rPr>
            <w:rStyle w:val="Lienhypertexte"/>
            <w:rFonts w:eastAsia="Times New Roman"/>
            <w:bCs/>
            <w:kern w:val="36"/>
            <w:sz w:val="20"/>
            <w:szCs w:val="20"/>
            <w:lang w:eastAsia="fr-FR"/>
          </w:rPr>
          <w:t>https://abc-economie.banque-france.fr/la-mesure-du-pouvoir-dachat</w:t>
        </w:r>
      </w:hyperlink>
    </w:p>
    <w:p w:rsidR="007559B1" w:rsidRDefault="007559B1" w:rsidP="00A611AA">
      <w:pPr>
        <w:rPr>
          <w:rStyle w:val="Lienhypertexte"/>
          <w:rFonts w:eastAsia="Times New Roman"/>
          <w:bCs/>
          <w:kern w:val="36"/>
          <w:sz w:val="20"/>
          <w:szCs w:val="20"/>
          <w:lang w:eastAsia="fr-FR"/>
        </w:rPr>
      </w:pPr>
    </w:p>
    <w:p w:rsidR="007559B1" w:rsidRPr="00E85945" w:rsidRDefault="007559B1" w:rsidP="007559B1">
      <w:pPr>
        <w:rPr>
          <w:sz w:val="20"/>
          <w:szCs w:val="20"/>
        </w:rPr>
      </w:pPr>
      <w:r w:rsidRPr="00E85945">
        <w:rPr>
          <w:sz w:val="20"/>
          <w:szCs w:val="20"/>
        </w:rPr>
        <w:t>Les inégalités de revenus</w:t>
      </w:r>
    </w:p>
    <w:p w:rsidR="007559B1" w:rsidRPr="00E85945" w:rsidRDefault="0074706C" w:rsidP="007559B1">
      <w:pPr>
        <w:rPr>
          <w:sz w:val="20"/>
          <w:szCs w:val="20"/>
        </w:rPr>
      </w:pPr>
      <w:hyperlink r:id="rId19" w:history="1">
        <w:r w:rsidR="007559B1" w:rsidRPr="00E85945">
          <w:rPr>
            <w:rStyle w:val="Lienhypertexte"/>
            <w:sz w:val="20"/>
            <w:szCs w:val="20"/>
          </w:rPr>
          <w:t>https://abc-economie.banque-france.fr/leco-en-bref/les-inegalites-de-revenus</w:t>
        </w:r>
      </w:hyperlink>
    </w:p>
    <w:p w:rsidR="007559B1" w:rsidRDefault="007559B1" w:rsidP="00A611AA"/>
    <w:p w:rsidR="007559B1" w:rsidRDefault="007559B1" w:rsidP="00A611AA"/>
    <w:p w:rsidR="007559B1" w:rsidRDefault="007559B1" w:rsidP="00A611AA"/>
    <w:sectPr w:rsidR="007559B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6C" w:rsidRDefault="0074706C" w:rsidP="005422FA">
      <w:r>
        <w:separator/>
      </w:r>
    </w:p>
  </w:endnote>
  <w:endnote w:type="continuationSeparator" w:id="0">
    <w:p w:rsidR="0074706C" w:rsidRDefault="0074706C" w:rsidP="0054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44" w:rsidRDefault="00CA77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56261"/>
      <w:docPartObj>
        <w:docPartGallery w:val="Page Numbers (Bottom of Page)"/>
        <w:docPartUnique/>
      </w:docPartObj>
    </w:sdtPr>
    <w:sdtContent>
      <w:bookmarkStart w:id="5" w:name="_GoBack" w:displacedByCustomXml="prev"/>
      <w:bookmarkEnd w:id="5" w:displacedByCustomXml="prev"/>
      <w:p w:rsidR="00CA7744" w:rsidRDefault="00CA7744">
        <w:pPr>
          <w:pStyle w:val="Pieddepage"/>
          <w:jc w:val="center"/>
        </w:pPr>
        <w:r>
          <w:fldChar w:fldCharType="begin"/>
        </w:r>
        <w:r>
          <w:instrText>PAGE   \* MERGEFORMAT</w:instrText>
        </w:r>
        <w:r>
          <w:fldChar w:fldCharType="separate"/>
        </w:r>
        <w:r>
          <w:rPr>
            <w:noProof/>
          </w:rPr>
          <w:t>13</w:t>
        </w:r>
        <w:r>
          <w:fldChar w:fldCharType="end"/>
        </w:r>
      </w:p>
    </w:sdtContent>
  </w:sdt>
  <w:p w:rsidR="00CA7744" w:rsidRDefault="00CA774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44" w:rsidRDefault="00CA77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6C" w:rsidRDefault="0074706C" w:rsidP="005422FA">
      <w:r>
        <w:separator/>
      </w:r>
    </w:p>
  </w:footnote>
  <w:footnote w:type="continuationSeparator" w:id="0">
    <w:p w:rsidR="0074706C" w:rsidRDefault="0074706C" w:rsidP="005422FA">
      <w:r>
        <w:continuationSeparator/>
      </w:r>
    </w:p>
  </w:footnote>
  <w:footnote w:id="1">
    <w:p w:rsidR="00A611AA" w:rsidRDefault="00A611AA">
      <w:pPr>
        <w:pStyle w:val="Notedebasdepage"/>
      </w:pPr>
      <w:r>
        <w:rPr>
          <w:rStyle w:val="Appelnotedebasdep"/>
        </w:rPr>
        <w:footnoteRef/>
      </w:r>
      <w:r>
        <w:t xml:space="preserve"> Solde du compte d’utilisation du revenu.</w:t>
      </w:r>
    </w:p>
  </w:footnote>
  <w:footnote w:id="2">
    <w:p w:rsidR="00A611AA" w:rsidRDefault="00A611AA">
      <w:pPr>
        <w:pStyle w:val="Notedebasdepage"/>
      </w:pPr>
      <w:r>
        <w:rPr>
          <w:rStyle w:val="Appelnotedebasdep"/>
        </w:rPr>
        <w:footnoteRef/>
      </w:r>
      <w:r>
        <w:t xml:space="preserve"> On parle alors de centile.</w:t>
      </w:r>
    </w:p>
  </w:footnote>
  <w:footnote w:id="3">
    <w:p w:rsidR="00A611AA" w:rsidRDefault="00A611AA">
      <w:pPr>
        <w:pStyle w:val="Notedebasdepage"/>
      </w:pPr>
      <w:r>
        <w:rPr>
          <w:rStyle w:val="Appelnotedebasdep"/>
        </w:rPr>
        <w:footnoteRef/>
      </w:r>
      <w:r>
        <w:t xml:space="preserve"> Le « moins bien lotis » des 1% les plus riches détient 1 953 000€ de patrimoine.</w:t>
      </w:r>
    </w:p>
  </w:footnote>
  <w:footnote w:id="4">
    <w:p w:rsidR="00A611AA" w:rsidRDefault="00A611AA">
      <w:pPr>
        <w:pStyle w:val="Notedebasdepage"/>
      </w:pPr>
      <w:r>
        <w:rPr>
          <w:rStyle w:val="Appelnotedebasdep"/>
        </w:rPr>
        <w:footnoteRef/>
      </w:r>
      <w:r>
        <w:t xml:space="preserve"> Les revenus mixtes concernent les rémunérations pour les entreprises individuelles. Elles incluent </w:t>
      </w:r>
      <w:r w:rsidRPr="00560C6C">
        <w:rPr>
          <w:i/>
        </w:rPr>
        <w:t>« la rémunération du travail effectué par le propriétaire et éventuellement les membres de sa famille, et son profit en tant qu'entrepreneur </w:t>
      </w:r>
      <w:r>
        <w:t>» (source : INSEE)</w:t>
      </w:r>
      <w:r w:rsidRPr="00560C6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44" w:rsidRDefault="00CA77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44" w:rsidRDefault="00CA774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44" w:rsidRDefault="00CA77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89D"/>
    <w:multiLevelType w:val="hybridMultilevel"/>
    <w:tmpl w:val="A306C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859F9"/>
    <w:multiLevelType w:val="hybridMultilevel"/>
    <w:tmpl w:val="BD5284C0"/>
    <w:lvl w:ilvl="0" w:tplc="351011E4">
      <w:start w:val="3"/>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04722"/>
    <w:multiLevelType w:val="multilevel"/>
    <w:tmpl w:val="65085214"/>
    <w:styleLink w:val="Chapitres"/>
    <w:lvl w:ilvl="0">
      <w:start w:val="1"/>
      <w:numFmt w:val="decimal"/>
      <w:lvlText w:val="Chapitre %1"/>
      <w:lvlJc w:val="left"/>
      <w:pPr>
        <w:ind w:left="1701" w:hanging="1701"/>
      </w:pPr>
      <w:rPr>
        <w:spacing w:val="0"/>
        <w:kern w:val="0"/>
        <w:position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B17780"/>
    <w:multiLevelType w:val="hybridMultilevel"/>
    <w:tmpl w:val="61A8F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154289"/>
    <w:multiLevelType w:val="hybridMultilevel"/>
    <w:tmpl w:val="264212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776A37"/>
    <w:multiLevelType w:val="hybridMultilevel"/>
    <w:tmpl w:val="FFE49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B678C1"/>
    <w:multiLevelType w:val="multilevel"/>
    <w:tmpl w:val="E258F2A2"/>
    <w:lvl w:ilvl="0">
      <w:start w:val="1"/>
      <w:numFmt w:val="decimal"/>
      <w:lvlText w:val="Chapitre %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8C828FB"/>
    <w:multiLevelType w:val="hybridMultilevel"/>
    <w:tmpl w:val="35DA72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0F36E4"/>
    <w:multiLevelType w:val="hybridMultilevel"/>
    <w:tmpl w:val="1D722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F2E"/>
    <w:multiLevelType w:val="multilevel"/>
    <w:tmpl w:val="C360D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02174A3"/>
    <w:multiLevelType w:val="hybridMultilevel"/>
    <w:tmpl w:val="C1AA2C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6D1486"/>
    <w:multiLevelType w:val="hybridMultilevel"/>
    <w:tmpl w:val="27403640"/>
    <w:lvl w:ilvl="0" w:tplc="C082DD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2"/>
  </w:num>
  <w:num w:numId="5">
    <w:abstractNumId w:val="6"/>
  </w:num>
  <w:num w:numId="6">
    <w:abstractNumId w:val="9"/>
  </w:num>
  <w:num w:numId="7">
    <w:abstractNumId w:val="8"/>
  </w:num>
  <w:num w:numId="8">
    <w:abstractNumId w:val="11"/>
  </w:num>
  <w:num w:numId="9">
    <w:abstractNumId w:val="5"/>
  </w:num>
  <w:num w:numId="10">
    <w:abstractNumId w:val="4"/>
  </w:num>
  <w:num w:numId="11">
    <w:abstractNumId w:val="7"/>
  </w:num>
  <w:num w:numId="12">
    <w:abstractNumId w:val="1"/>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8"/>
    <w:rsid w:val="00024D69"/>
    <w:rsid w:val="00035716"/>
    <w:rsid w:val="0005342D"/>
    <w:rsid w:val="000720D9"/>
    <w:rsid w:val="00091EEF"/>
    <w:rsid w:val="0010525E"/>
    <w:rsid w:val="00142B02"/>
    <w:rsid w:val="0015772A"/>
    <w:rsid w:val="0018173A"/>
    <w:rsid w:val="001A4F22"/>
    <w:rsid w:val="001E61B5"/>
    <w:rsid w:val="001F0E81"/>
    <w:rsid w:val="0022389D"/>
    <w:rsid w:val="00234D93"/>
    <w:rsid w:val="002374E0"/>
    <w:rsid w:val="002A2717"/>
    <w:rsid w:val="002A2FA2"/>
    <w:rsid w:val="00355268"/>
    <w:rsid w:val="00360DCA"/>
    <w:rsid w:val="003E6469"/>
    <w:rsid w:val="0040397F"/>
    <w:rsid w:val="004346ED"/>
    <w:rsid w:val="0046363A"/>
    <w:rsid w:val="00464800"/>
    <w:rsid w:val="00492DAD"/>
    <w:rsid w:val="004C3C17"/>
    <w:rsid w:val="004E3372"/>
    <w:rsid w:val="00513A4F"/>
    <w:rsid w:val="005422FA"/>
    <w:rsid w:val="00560C6C"/>
    <w:rsid w:val="00561D79"/>
    <w:rsid w:val="00571748"/>
    <w:rsid w:val="005C231D"/>
    <w:rsid w:val="005C550B"/>
    <w:rsid w:val="005D6374"/>
    <w:rsid w:val="005F0BD0"/>
    <w:rsid w:val="006176F3"/>
    <w:rsid w:val="0063233F"/>
    <w:rsid w:val="00655A40"/>
    <w:rsid w:val="00656C90"/>
    <w:rsid w:val="00663863"/>
    <w:rsid w:val="00682E15"/>
    <w:rsid w:val="006A52D6"/>
    <w:rsid w:val="006B3340"/>
    <w:rsid w:val="006D3EF6"/>
    <w:rsid w:val="006F7913"/>
    <w:rsid w:val="00711523"/>
    <w:rsid w:val="00743AAF"/>
    <w:rsid w:val="0074706C"/>
    <w:rsid w:val="007559B1"/>
    <w:rsid w:val="00767A94"/>
    <w:rsid w:val="0078278D"/>
    <w:rsid w:val="007A19AE"/>
    <w:rsid w:val="007B261A"/>
    <w:rsid w:val="00811044"/>
    <w:rsid w:val="00816B84"/>
    <w:rsid w:val="0086706B"/>
    <w:rsid w:val="008C4F07"/>
    <w:rsid w:val="008D5BED"/>
    <w:rsid w:val="009061EE"/>
    <w:rsid w:val="00925E29"/>
    <w:rsid w:val="00961151"/>
    <w:rsid w:val="00971858"/>
    <w:rsid w:val="009F5C34"/>
    <w:rsid w:val="00A12FBE"/>
    <w:rsid w:val="00A321EF"/>
    <w:rsid w:val="00A3407C"/>
    <w:rsid w:val="00A611AA"/>
    <w:rsid w:val="00A7051D"/>
    <w:rsid w:val="00A70711"/>
    <w:rsid w:val="00A968A4"/>
    <w:rsid w:val="00B04C92"/>
    <w:rsid w:val="00B32DDD"/>
    <w:rsid w:val="00B43FEA"/>
    <w:rsid w:val="00B6703C"/>
    <w:rsid w:val="00BA671E"/>
    <w:rsid w:val="00BC03A8"/>
    <w:rsid w:val="00BF2E06"/>
    <w:rsid w:val="00C05AE4"/>
    <w:rsid w:val="00C223EF"/>
    <w:rsid w:val="00C32AF2"/>
    <w:rsid w:val="00C5693A"/>
    <w:rsid w:val="00C56A24"/>
    <w:rsid w:val="00CA7744"/>
    <w:rsid w:val="00CB56FE"/>
    <w:rsid w:val="00CB5E67"/>
    <w:rsid w:val="00CE79B2"/>
    <w:rsid w:val="00D37E2C"/>
    <w:rsid w:val="00DD5726"/>
    <w:rsid w:val="00E03FDD"/>
    <w:rsid w:val="00E15B52"/>
    <w:rsid w:val="00E24711"/>
    <w:rsid w:val="00E4138D"/>
    <w:rsid w:val="00EA20AE"/>
    <w:rsid w:val="00EA3A93"/>
    <w:rsid w:val="00F13611"/>
    <w:rsid w:val="00F25B1C"/>
    <w:rsid w:val="00F42A3F"/>
    <w:rsid w:val="00F54FD1"/>
    <w:rsid w:val="00F8015A"/>
    <w:rsid w:val="00FC41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00"/>
    <w:pPr>
      <w:spacing w:after="0" w:line="240" w:lineRule="auto"/>
      <w:jc w:val="both"/>
    </w:pPr>
  </w:style>
  <w:style w:type="paragraph" w:styleId="Titre1">
    <w:name w:val="heading 1"/>
    <w:aliases w:val="Chapitre 1"/>
    <w:basedOn w:val="Normal"/>
    <w:next w:val="Normal"/>
    <w:link w:val="Titre1Car"/>
    <w:autoRedefine/>
    <w:uiPriority w:val="9"/>
    <w:qFormat/>
    <w:rsid w:val="00C223EF"/>
    <w:pPr>
      <w:keepNext/>
      <w:keepLines/>
      <w:spacing w:before="240"/>
      <w:outlineLvl w:val="0"/>
    </w:pPr>
    <w:rPr>
      <w:rFonts w:asciiTheme="majorHAnsi" w:eastAsiaTheme="majorEastAsia" w:hAnsiTheme="majorHAnsi" w:cstheme="majorBidi"/>
      <w:sz w:val="32"/>
      <w:szCs w:val="32"/>
      <w:u w:val="single"/>
    </w:rPr>
  </w:style>
  <w:style w:type="paragraph" w:styleId="Titre2">
    <w:name w:val="heading 2"/>
    <w:basedOn w:val="Normal"/>
    <w:next w:val="Normal"/>
    <w:link w:val="Titre2Car"/>
    <w:autoRedefine/>
    <w:uiPriority w:val="9"/>
    <w:unhideWhenUsed/>
    <w:qFormat/>
    <w:rsid w:val="00464800"/>
    <w:pPr>
      <w:keepNext/>
      <w:keepLines/>
      <w:spacing w:before="4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46363A"/>
    <w:pPr>
      <w:spacing w:after="200"/>
    </w:pPr>
    <w:rPr>
      <w:iCs/>
      <w:szCs w:val="18"/>
    </w:rPr>
  </w:style>
  <w:style w:type="character" w:customStyle="1" w:styleId="Titre1Car">
    <w:name w:val="Titre 1 Car"/>
    <w:aliases w:val="Chapitre 1 Car"/>
    <w:basedOn w:val="Policepardfaut"/>
    <w:link w:val="Titre1"/>
    <w:uiPriority w:val="9"/>
    <w:rsid w:val="00C223EF"/>
    <w:rPr>
      <w:rFonts w:asciiTheme="majorHAnsi" w:eastAsiaTheme="majorEastAsia" w:hAnsiTheme="majorHAnsi" w:cstheme="majorBidi"/>
      <w:sz w:val="32"/>
      <w:szCs w:val="32"/>
      <w:u w:val="single"/>
    </w:rPr>
  </w:style>
  <w:style w:type="character" w:customStyle="1" w:styleId="Titre2Car">
    <w:name w:val="Titre 2 Car"/>
    <w:basedOn w:val="Policepardfaut"/>
    <w:link w:val="Titre2"/>
    <w:uiPriority w:val="9"/>
    <w:rsid w:val="00464800"/>
    <w:rPr>
      <w:rFonts w:asciiTheme="majorHAnsi" w:eastAsiaTheme="majorEastAsia" w:hAnsiTheme="majorHAnsi" w:cstheme="majorBidi"/>
      <w:sz w:val="26"/>
      <w:szCs w:val="26"/>
    </w:rPr>
  </w:style>
  <w:style w:type="numbering" w:customStyle="1" w:styleId="Chapitres">
    <w:name w:val="Chapitres"/>
    <w:uiPriority w:val="99"/>
    <w:rsid w:val="00C223EF"/>
    <w:pPr>
      <w:numPr>
        <w:numId w:val="4"/>
      </w:numPr>
    </w:pPr>
  </w:style>
  <w:style w:type="paragraph" w:styleId="Paragraphedeliste">
    <w:name w:val="List Paragraph"/>
    <w:basedOn w:val="Normal"/>
    <w:uiPriority w:val="34"/>
    <w:qFormat/>
    <w:rsid w:val="003E6469"/>
    <w:pPr>
      <w:ind w:left="720"/>
      <w:contextualSpacing/>
    </w:pPr>
  </w:style>
  <w:style w:type="paragraph" w:styleId="NormalWeb">
    <w:name w:val="Normal (Web)"/>
    <w:basedOn w:val="Normal"/>
    <w:uiPriority w:val="99"/>
    <w:unhideWhenUsed/>
    <w:rsid w:val="009061EE"/>
    <w:pPr>
      <w:spacing w:before="100" w:beforeAutospacing="1" w:after="100" w:afterAutospacing="1"/>
      <w:jc w:val="left"/>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semiHidden/>
    <w:unhideWhenUsed/>
    <w:rsid w:val="005422FA"/>
    <w:rPr>
      <w:sz w:val="20"/>
      <w:szCs w:val="20"/>
    </w:rPr>
  </w:style>
  <w:style w:type="character" w:customStyle="1" w:styleId="NotedebasdepageCar">
    <w:name w:val="Note de bas de page Car"/>
    <w:basedOn w:val="Policepardfaut"/>
    <w:link w:val="Notedebasdepage"/>
    <w:uiPriority w:val="99"/>
    <w:semiHidden/>
    <w:rsid w:val="005422FA"/>
    <w:rPr>
      <w:sz w:val="20"/>
      <w:szCs w:val="20"/>
    </w:rPr>
  </w:style>
  <w:style w:type="character" w:styleId="Appelnotedebasdep">
    <w:name w:val="footnote reference"/>
    <w:basedOn w:val="Policepardfaut"/>
    <w:uiPriority w:val="99"/>
    <w:semiHidden/>
    <w:unhideWhenUsed/>
    <w:rsid w:val="005422FA"/>
    <w:rPr>
      <w:vertAlign w:val="superscript"/>
    </w:rPr>
  </w:style>
  <w:style w:type="character" w:styleId="Lienhypertexte">
    <w:name w:val="Hyperlink"/>
    <w:basedOn w:val="Policepardfaut"/>
    <w:uiPriority w:val="99"/>
    <w:unhideWhenUsed/>
    <w:rsid w:val="00B04C92"/>
    <w:rPr>
      <w:color w:val="0563C1" w:themeColor="hyperlink"/>
      <w:u w:val="single"/>
    </w:rPr>
  </w:style>
  <w:style w:type="paragraph" w:styleId="Textedebulles">
    <w:name w:val="Balloon Text"/>
    <w:basedOn w:val="Normal"/>
    <w:link w:val="TextedebullesCar"/>
    <w:uiPriority w:val="99"/>
    <w:semiHidden/>
    <w:unhideWhenUsed/>
    <w:rsid w:val="00234D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4D93"/>
    <w:rPr>
      <w:rFonts w:ascii="Segoe UI" w:hAnsi="Segoe UI" w:cs="Segoe UI"/>
      <w:sz w:val="18"/>
      <w:szCs w:val="18"/>
    </w:rPr>
  </w:style>
  <w:style w:type="character" w:styleId="Textedelespacerserv">
    <w:name w:val="Placeholder Text"/>
    <w:basedOn w:val="Policepardfaut"/>
    <w:uiPriority w:val="99"/>
    <w:semiHidden/>
    <w:rsid w:val="00767A94"/>
    <w:rPr>
      <w:color w:val="808080"/>
    </w:rPr>
  </w:style>
  <w:style w:type="character" w:customStyle="1" w:styleId="Mentionnonrsolue1">
    <w:name w:val="Mention non résolue1"/>
    <w:basedOn w:val="Policepardfaut"/>
    <w:uiPriority w:val="99"/>
    <w:semiHidden/>
    <w:unhideWhenUsed/>
    <w:rsid w:val="006176F3"/>
    <w:rPr>
      <w:color w:val="605E5C"/>
      <w:shd w:val="clear" w:color="auto" w:fill="E1DFDD"/>
    </w:rPr>
  </w:style>
  <w:style w:type="paragraph" w:styleId="Titre">
    <w:name w:val="Title"/>
    <w:aliases w:val="Titre fiche"/>
    <w:basedOn w:val="Titre1"/>
    <w:next w:val="Normal"/>
    <w:link w:val="TitreCar"/>
    <w:uiPriority w:val="7"/>
    <w:rsid w:val="006D3EF6"/>
    <w:pPr>
      <w:keepNext w:val="0"/>
      <w:keepLines w:val="0"/>
      <w:spacing w:before="0" w:after="200" w:line="276" w:lineRule="auto"/>
      <w:jc w:val="center"/>
    </w:pPr>
    <w:rPr>
      <w:rFonts w:ascii="Arial" w:hAnsi="Arial"/>
      <w:b/>
      <w:bCs/>
      <w:sz w:val="34"/>
      <w:szCs w:val="26"/>
      <w:u w:val="none"/>
    </w:rPr>
  </w:style>
  <w:style w:type="character" w:customStyle="1" w:styleId="TitreCar">
    <w:name w:val="Titre Car"/>
    <w:aliases w:val="Titre fiche Car"/>
    <w:basedOn w:val="Policepardfaut"/>
    <w:link w:val="Titre"/>
    <w:uiPriority w:val="7"/>
    <w:rsid w:val="006D3EF6"/>
    <w:rPr>
      <w:rFonts w:ascii="Arial" w:eastAsiaTheme="majorEastAsia" w:hAnsi="Arial" w:cstheme="majorBidi"/>
      <w:b/>
      <w:bCs/>
      <w:sz w:val="34"/>
      <w:szCs w:val="26"/>
    </w:rPr>
  </w:style>
  <w:style w:type="paragraph" w:styleId="TM1">
    <w:name w:val="toc 1"/>
    <w:basedOn w:val="Normal"/>
    <w:next w:val="Normal"/>
    <w:autoRedefine/>
    <w:uiPriority w:val="39"/>
    <w:unhideWhenUsed/>
    <w:rsid w:val="006D3EF6"/>
    <w:pPr>
      <w:keepNext/>
      <w:keepLines/>
      <w:tabs>
        <w:tab w:val="right" w:leader="dot" w:pos="9062"/>
      </w:tabs>
      <w:spacing w:before="360" w:after="160"/>
      <w:jc w:val="center"/>
      <w:outlineLvl w:val="0"/>
    </w:pPr>
    <w:rPr>
      <w:rFonts w:ascii="Arial" w:eastAsiaTheme="majorEastAsia" w:hAnsi="Arial" w:cstheme="majorBidi"/>
      <w:b/>
      <w:bCs/>
      <w:noProof/>
      <w:sz w:val="24"/>
      <w:szCs w:val="28"/>
    </w:rPr>
  </w:style>
  <w:style w:type="paragraph" w:styleId="En-ttedetabledesmatires">
    <w:name w:val="TOC Heading"/>
    <w:aliases w:val="En-tête Sommaire"/>
    <w:basedOn w:val="Titre1"/>
    <w:next w:val="Normal"/>
    <w:uiPriority w:val="39"/>
    <w:unhideWhenUsed/>
    <w:qFormat/>
    <w:rsid w:val="006D3EF6"/>
    <w:pPr>
      <w:keepNext w:val="0"/>
      <w:keepLines w:val="0"/>
      <w:spacing w:before="600" w:after="200" w:line="276" w:lineRule="auto"/>
      <w:ind w:left="113" w:right="113"/>
      <w:jc w:val="left"/>
      <w:outlineLvl w:val="9"/>
    </w:pPr>
    <w:rPr>
      <w:rFonts w:ascii="Arial" w:hAnsi="Arial"/>
      <w:b/>
      <w:bCs/>
      <w:caps/>
      <w:color w:val="E78A49"/>
      <w:sz w:val="40"/>
      <w:szCs w:val="26"/>
      <w:u w:val="none"/>
      <w:lang w:eastAsia="fr-FR"/>
    </w:rPr>
  </w:style>
  <w:style w:type="paragraph" w:customStyle="1" w:styleId="Encadrcontextetitre">
    <w:name w:val="Encadré contexte (titre)"/>
    <w:basedOn w:val="Normal"/>
    <w:qFormat/>
    <w:rsid w:val="006D3EF6"/>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after="120"/>
      <w:ind w:left="340"/>
      <w:contextualSpacing/>
      <w:jc w:val="left"/>
    </w:pPr>
    <w:rPr>
      <w:rFonts w:ascii="Arial" w:hAnsi="Arial"/>
      <w:b/>
      <w:color w:val="E78A49"/>
      <w:sz w:val="20"/>
    </w:rPr>
  </w:style>
  <w:style w:type="paragraph" w:styleId="TM2">
    <w:name w:val="toc 2"/>
    <w:basedOn w:val="Normal"/>
    <w:next w:val="Normal"/>
    <w:autoRedefine/>
    <w:uiPriority w:val="39"/>
    <w:unhideWhenUsed/>
    <w:rsid w:val="006D3EF6"/>
    <w:pPr>
      <w:spacing w:after="100"/>
      <w:ind w:left="220"/>
    </w:pPr>
  </w:style>
  <w:style w:type="character" w:styleId="Marquedecommentaire">
    <w:name w:val="annotation reference"/>
    <w:basedOn w:val="Policepardfaut"/>
    <w:uiPriority w:val="99"/>
    <w:semiHidden/>
    <w:unhideWhenUsed/>
    <w:rsid w:val="00655A40"/>
    <w:rPr>
      <w:sz w:val="16"/>
      <w:szCs w:val="16"/>
    </w:rPr>
  </w:style>
  <w:style w:type="paragraph" w:styleId="Commentaire">
    <w:name w:val="annotation text"/>
    <w:basedOn w:val="Normal"/>
    <w:link w:val="CommentaireCar"/>
    <w:uiPriority w:val="99"/>
    <w:semiHidden/>
    <w:unhideWhenUsed/>
    <w:rsid w:val="00655A40"/>
    <w:rPr>
      <w:sz w:val="20"/>
      <w:szCs w:val="20"/>
    </w:rPr>
  </w:style>
  <w:style w:type="character" w:customStyle="1" w:styleId="CommentaireCar">
    <w:name w:val="Commentaire Car"/>
    <w:basedOn w:val="Policepardfaut"/>
    <w:link w:val="Commentaire"/>
    <w:uiPriority w:val="99"/>
    <w:semiHidden/>
    <w:rsid w:val="00655A40"/>
    <w:rPr>
      <w:sz w:val="20"/>
      <w:szCs w:val="20"/>
    </w:rPr>
  </w:style>
  <w:style w:type="paragraph" w:styleId="Objetducommentaire">
    <w:name w:val="annotation subject"/>
    <w:basedOn w:val="Commentaire"/>
    <w:next w:val="Commentaire"/>
    <w:link w:val="ObjetducommentaireCar"/>
    <w:uiPriority w:val="99"/>
    <w:semiHidden/>
    <w:unhideWhenUsed/>
    <w:rsid w:val="00655A40"/>
    <w:rPr>
      <w:b/>
      <w:bCs/>
    </w:rPr>
  </w:style>
  <w:style w:type="character" w:customStyle="1" w:styleId="ObjetducommentaireCar">
    <w:name w:val="Objet du commentaire Car"/>
    <w:basedOn w:val="CommentaireCar"/>
    <w:link w:val="Objetducommentaire"/>
    <w:uiPriority w:val="99"/>
    <w:semiHidden/>
    <w:rsid w:val="00655A40"/>
    <w:rPr>
      <w:b/>
      <w:bCs/>
      <w:sz w:val="20"/>
      <w:szCs w:val="20"/>
    </w:rPr>
  </w:style>
  <w:style w:type="table" w:styleId="Grilledutableau">
    <w:name w:val="Table Grid"/>
    <w:basedOn w:val="TableauNormal"/>
    <w:uiPriority w:val="59"/>
    <w:rsid w:val="007559B1"/>
    <w:pPr>
      <w:spacing w:after="0" w:line="240" w:lineRule="auto"/>
    </w:pPr>
    <w:rPr>
      <w:rFonts w:ascii="Arial" w:eastAsiaTheme="minorEastAsia" w:hAnsi="Arial"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559B1"/>
    <w:rPr>
      <w:color w:val="954F72" w:themeColor="followedHyperlink"/>
      <w:u w:val="single"/>
    </w:rPr>
  </w:style>
  <w:style w:type="paragraph" w:customStyle="1" w:styleId="Default">
    <w:name w:val="Default"/>
    <w:rsid w:val="00F42A3F"/>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CA7744"/>
    <w:pPr>
      <w:tabs>
        <w:tab w:val="center" w:pos="4536"/>
        <w:tab w:val="right" w:pos="9072"/>
      </w:tabs>
    </w:pPr>
  </w:style>
  <w:style w:type="character" w:customStyle="1" w:styleId="En-tteCar">
    <w:name w:val="En-tête Car"/>
    <w:basedOn w:val="Policepardfaut"/>
    <w:link w:val="En-tte"/>
    <w:uiPriority w:val="99"/>
    <w:rsid w:val="00CA7744"/>
  </w:style>
  <w:style w:type="paragraph" w:styleId="Pieddepage">
    <w:name w:val="footer"/>
    <w:basedOn w:val="Normal"/>
    <w:link w:val="PieddepageCar"/>
    <w:uiPriority w:val="99"/>
    <w:unhideWhenUsed/>
    <w:rsid w:val="00CA7744"/>
    <w:pPr>
      <w:tabs>
        <w:tab w:val="center" w:pos="4536"/>
        <w:tab w:val="right" w:pos="9072"/>
      </w:tabs>
    </w:pPr>
  </w:style>
  <w:style w:type="character" w:customStyle="1" w:styleId="PieddepageCar">
    <w:name w:val="Pied de page Car"/>
    <w:basedOn w:val="Policepardfaut"/>
    <w:link w:val="Pieddepage"/>
    <w:uiPriority w:val="99"/>
    <w:rsid w:val="00CA7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00"/>
    <w:pPr>
      <w:spacing w:after="0" w:line="240" w:lineRule="auto"/>
      <w:jc w:val="both"/>
    </w:pPr>
  </w:style>
  <w:style w:type="paragraph" w:styleId="Titre1">
    <w:name w:val="heading 1"/>
    <w:aliases w:val="Chapitre 1"/>
    <w:basedOn w:val="Normal"/>
    <w:next w:val="Normal"/>
    <w:link w:val="Titre1Car"/>
    <w:autoRedefine/>
    <w:uiPriority w:val="9"/>
    <w:qFormat/>
    <w:rsid w:val="00C223EF"/>
    <w:pPr>
      <w:keepNext/>
      <w:keepLines/>
      <w:spacing w:before="240"/>
      <w:outlineLvl w:val="0"/>
    </w:pPr>
    <w:rPr>
      <w:rFonts w:asciiTheme="majorHAnsi" w:eastAsiaTheme="majorEastAsia" w:hAnsiTheme="majorHAnsi" w:cstheme="majorBidi"/>
      <w:sz w:val="32"/>
      <w:szCs w:val="32"/>
      <w:u w:val="single"/>
    </w:rPr>
  </w:style>
  <w:style w:type="paragraph" w:styleId="Titre2">
    <w:name w:val="heading 2"/>
    <w:basedOn w:val="Normal"/>
    <w:next w:val="Normal"/>
    <w:link w:val="Titre2Car"/>
    <w:autoRedefine/>
    <w:uiPriority w:val="9"/>
    <w:unhideWhenUsed/>
    <w:qFormat/>
    <w:rsid w:val="00464800"/>
    <w:pPr>
      <w:keepNext/>
      <w:keepLines/>
      <w:spacing w:before="4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46363A"/>
    <w:pPr>
      <w:spacing w:after="200"/>
    </w:pPr>
    <w:rPr>
      <w:iCs/>
      <w:szCs w:val="18"/>
    </w:rPr>
  </w:style>
  <w:style w:type="character" w:customStyle="1" w:styleId="Titre1Car">
    <w:name w:val="Titre 1 Car"/>
    <w:aliases w:val="Chapitre 1 Car"/>
    <w:basedOn w:val="Policepardfaut"/>
    <w:link w:val="Titre1"/>
    <w:uiPriority w:val="9"/>
    <w:rsid w:val="00C223EF"/>
    <w:rPr>
      <w:rFonts w:asciiTheme="majorHAnsi" w:eastAsiaTheme="majorEastAsia" w:hAnsiTheme="majorHAnsi" w:cstheme="majorBidi"/>
      <w:sz w:val="32"/>
      <w:szCs w:val="32"/>
      <w:u w:val="single"/>
    </w:rPr>
  </w:style>
  <w:style w:type="character" w:customStyle="1" w:styleId="Titre2Car">
    <w:name w:val="Titre 2 Car"/>
    <w:basedOn w:val="Policepardfaut"/>
    <w:link w:val="Titre2"/>
    <w:uiPriority w:val="9"/>
    <w:rsid w:val="00464800"/>
    <w:rPr>
      <w:rFonts w:asciiTheme="majorHAnsi" w:eastAsiaTheme="majorEastAsia" w:hAnsiTheme="majorHAnsi" w:cstheme="majorBidi"/>
      <w:sz w:val="26"/>
      <w:szCs w:val="26"/>
    </w:rPr>
  </w:style>
  <w:style w:type="numbering" w:customStyle="1" w:styleId="Chapitres">
    <w:name w:val="Chapitres"/>
    <w:uiPriority w:val="99"/>
    <w:rsid w:val="00C223EF"/>
    <w:pPr>
      <w:numPr>
        <w:numId w:val="4"/>
      </w:numPr>
    </w:pPr>
  </w:style>
  <w:style w:type="paragraph" w:styleId="Paragraphedeliste">
    <w:name w:val="List Paragraph"/>
    <w:basedOn w:val="Normal"/>
    <w:uiPriority w:val="34"/>
    <w:qFormat/>
    <w:rsid w:val="003E6469"/>
    <w:pPr>
      <w:ind w:left="720"/>
      <w:contextualSpacing/>
    </w:pPr>
  </w:style>
  <w:style w:type="paragraph" w:styleId="NormalWeb">
    <w:name w:val="Normal (Web)"/>
    <w:basedOn w:val="Normal"/>
    <w:uiPriority w:val="99"/>
    <w:unhideWhenUsed/>
    <w:rsid w:val="009061EE"/>
    <w:pPr>
      <w:spacing w:before="100" w:beforeAutospacing="1" w:after="100" w:afterAutospacing="1"/>
      <w:jc w:val="left"/>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semiHidden/>
    <w:unhideWhenUsed/>
    <w:rsid w:val="005422FA"/>
    <w:rPr>
      <w:sz w:val="20"/>
      <w:szCs w:val="20"/>
    </w:rPr>
  </w:style>
  <w:style w:type="character" w:customStyle="1" w:styleId="NotedebasdepageCar">
    <w:name w:val="Note de bas de page Car"/>
    <w:basedOn w:val="Policepardfaut"/>
    <w:link w:val="Notedebasdepage"/>
    <w:uiPriority w:val="99"/>
    <w:semiHidden/>
    <w:rsid w:val="005422FA"/>
    <w:rPr>
      <w:sz w:val="20"/>
      <w:szCs w:val="20"/>
    </w:rPr>
  </w:style>
  <w:style w:type="character" w:styleId="Appelnotedebasdep">
    <w:name w:val="footnote reference"/>
    <w:basedOn w:val="Policepardfaut"/>
    <w:uiPriority w:val="99"/>
    <w:semiHidden/>
    <w:unhideWhenUsed/>
    <w:rsid w:val="005422FA"/>
    <w:rPr>
      <w:vertAlign w:val="superscript"/>
    </w:rPr>
  </w:style>
  <w:style w:type="character" w:styleId="Lienhypertexte">
    <w:name w:val="Hyperlink"/>
    <w:basedOn w:val="Policepardfaut"/>
    <w:uiPriority w:val="99"/>
    <w:unhideWhenUsed/>
    <w:rsid w:val="00B04C92"/>
    <w:rPr>
      <w:color w:val="0563C1" w:themeColor="hyperlink"/>
      <w:u w:val="single"/>
    </w:rPr>
  </w:style>
  <w:style w:type="paragraph" w:styleId="Textedebulles">
    <w:name w:val="Balloon Text"/>
    <w:basedOn w:val="Normal"/>
    <w:link w:val="TextedebullesCar"/>
    <w:uiPriority w:val="99"/>
    <w:semiHidden/>
    <w:unhideWhenUsed/>
    <w:rsid w:val="00234D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4D93"/>
    <w:rPr>
      <w:rFonts w:ascii="Segoe UI" w:hAnsi="Segoe UI" w:cs="Segoe UI"/>
      <w:sz w:val="18"/>
      <w:szCs w:val="18"/>
    </w:rPr>
  </w:style>
  <w:style w:type="character" w:styleId="Textedelespacerserv">
    <w:name w:val="Placeholder Text"/>
    <w:basedOn w:val="Policepardfaut"/>
    <w:uiPriority w:val="99"/>
    <w:semiHidden/>
    <w:rsid w:val="00767A94"/>
    <w:rPr>
      <w:color w:val="808080"/>
    </w:rPr>
  </w:style>
  <w:style w:type="character" w:customStyle="1" w:styleId="Mentionnonrsolue1">
    <w:name w:val="Mention non résolue1"/>
    <w:basedOn w:val="Policepardfaut"/>
    <w:uiPriority w:val="99"/>
    <w:semiHidden/>
    <w:unhideWhenUsed/>
    <w:rsid w:val="006176F3"/>
    <w:rPr>
      <w:color w:val="605E5C"/>
      <w:shd w:val="clear" w:color="auto" w:fill="E1DFDD"/>
    </w:rPr>
  </w:style>
  <w:style w:type="paragraph" w:styleId="Titre">
    <w:name w:val="Title"/>
    <w:aliases w:val="Titre fiche"/>
    <w:basedOn w:val="Titre1"/>
    <w:next w:val="Normal"/>
    <w:link w:val="TitreCar"/>
    <w:uiPriority w:val="7"/>
    <w:rsid w:val="006D3EF6"/>
    <w:pPr>
      <w:keepNext w:val="0"/>
      <w:keepLines w:val="0"/>
      <w:spacing w:before="0" w:after="200" w:line="276" w:lineRule="auto"/>
      <w:jc w:val="center"/>
    </w:pPr>
    <w:rPr>
      <w:rFonts w:ascii="Arial" w:hAnsi="Arial"/>
      <w:b/>
      <w:bCs/>
      <w:sz w:val="34"/>
      <w:szCs w:val="26"/>
      <w:u w:val="none"/>
    </w:rPr>
  </w:style>
  <w:style w:type="character" w:customStyle="1" w:styleId="TitreCar">
    <w:name w:val="Titre Car"/>
    <w:aliases w:val="Titre fiche Car"/>
    <w:basedOn w:val="Policepardfaut"/>
    <w:link w:val="Titre"/>
    <w:uiPriority w:val="7"/>
    <w:rsid w:val="006D3EF6"/>
    <w:rPr>
      <w:rFonts w:ascii="Arial" w:eastAsiaTheme="majorEastAsia" w:hAnsi="Arial" w:cstheme="majorBidi"/>
      <w:b/>
      <w:bCs/>
      <w:sz w:val="34"/>
      <w:szCs w:val="26"/>
    </w:rPr>
  </w:style>
  <w:style w:type="paragraph" w:styleId="TM1">
    <w:name w:val="toc 1"/>
    <w:basedOn w:val="Normal"/>
    <w:next w:val="Normal"/>
    <w:autoRedefine/>
    <w:uiPriority w:val="39"/>
    <w:unhideWhenUsed/>
    <w:rsid w:val="006D3EF6"/>
    <w:pPr>
      <w:keepNext/>
      <w:keepLines/>
      <w:tabs>
        <w:tab w:val="right" w:leader="dot" w:pos="9062"/>
      </w:tabs>
      <w:spacing w:before="360" w:after="160"/>
      <w:jc w:val="center"/>
      <w:outlineLvl w:val="0"/>
    </w:pPr>
    <w:rPr>
      <w:rFonts w:ascii="Arial" w:eastAsiaTheme="majorEastAsia" w:hAnsi="Arial" w:cstheme="majorBidi"/>
      <w:b/>
      <w:bCs/>
      <w:noProof/>
      <w:sz w:val="24"/>
      <w:szCs w:val="28"/>
    </w:rPr>
  </w:style>
  <w:style w:type="paragraph" w:styleId="En-ttedetabledesmatires">
    <w:name w:val="TOC Heading"/>
    <w:aliases w:val="En-tête Sommaire"/>
    <w:basedOn w:val="Titre1"/>
    <w:next w:val="Normal"/>
    <w:uiPriority w:val="39"/>
    <w:unhideWhenUsed/>
    <w:qFormat/>
    <w:rsid w:val="006D3EF6"/>
    <w:pPr>
      <w:keepNext w:val="0"/>
      <w:keepLines w:val="0"/>
      <w:spacing w:before="600" w:after="200" w:line="276" w:lineRule="auto"/>
      <w:ind w:left="113" w:right="113"/>
      <w:jc w:val="left"/>
      <w:outlineLvl w:val="9"/>
    </w:pPr>
    <w:rPr>
      <w:rFonts w:ascii="Arial" w:hAnsi="Arial"/>
      <w:b/>
      <w:bCs/>
      <w:caps/>
      <w:color w:val="E78A49"/>
      <w:sz w:val="40"/>
      <w:szCs w:val="26"/>
      <w:u w:val="none"/>
      <w:lang w:eastAsia="fr-FR"/>
    </w:rPr>
  </w:style>
  <w:style w:type="paragraph" w:customStyle="1" w:styleId="Encadrcontextetitre">
    <w:name w:val="Encadré contexte (titre)"/>
    <w:basedOn w:val="Normal"/>
    <w:qFormat/>
    <w:rsid w:val="006D3EF6"/>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after="120"/>
      <w:ind w:left="340"/>
      <w:contextualSpacing/>
      <w:jc w:val="left"/>
    </w:pPr>
    <w:rPr>
      <w:rFonts w:ascii="Arial" w:hAnsi="Arial"/>
      <w:b/>
      <w:color w:val="E78A49"/>
      <w:sz w:val="20"/>
    </w:rPr>
  </w:style>
  <w:style w:type="paragraph" w:styleId="TM2">
    <w:name w:val="toc 2"/>
    <w:basedOn w:val="Normal"/>
    <w:next w:val="Normal"/>
    <w:autoRedefine/>
    <w:uiPriority w:val="39"/>
    <w:unhideWhenUsed/>
    <w:rsid w:val="006D3EF6"/>
    <w:pPr>
      <w:spacing w:after="100"/>
      <w:ind w:left="220"/>
    </w:pPr>
  </w:style>
  <w:style w:type="character" w:styleId="Marquedecommentaire">
    <w:name w:val="annotation reference"/>
    <w:basedOn w:val="Policepardfaut"/>
    <w:uiPriority w:val="99"/>
    <w:semiHidden/>
    <w:unhideWhenUsed/>
    <w:rsid w:val="00655A40"/>
    <w:rPr>
      <w:sz w:val="16"/>
      <w:szCs w:val="16"/>
    </w:rPr>
  </w:style>
  <w:style w:type="paragraph" w:styleId="Commentaire">
    <w:name w:val="annotation text"/>
    <w:basedOn w:val="Normal"/>
    <w:link w:val="CommentaireCar"/>
    <w:uiPriority w:val="99"/>
    <w:semiHidden/>
    <w:unhideWhenUsed/>
    <w:rsid w:val="00655A40"/>
    <w:rPr>
      <w:sz w:val="20"/>
      <w:szCs w:val="20"/>
    </w:rPr>
  </w:style>
  <w:style w:type="character" w:customStyle="1" w:styleId="CommentaireCar">
    <w:name w:val="Commentaire Car"/>
    <w:basedOn w:val="Policepardfaut"/>
    <w:link w:val="Commentaire"/>
    <w:uiPriority w:val="99"/>
    <w:semiHidden/>
    <w:rsid w:val="00655A40"/>
    <w:rPr>
      <w:sz w:val="20"/>
      <w:szCs w:val="20"/>
    </w:rPr>
  </w:style>
  <w:style w:type="paragraph" w:styleId="Objetducommentaire">
    <w:name w:val="annotation subject"/>
    <w:basedOn w:val="Commentaire"/>
    <w:next w:val="Commentaire"/>
    <w:link w:val="ObjetducommentaireCar"/>
    <w:uiPriority w:val="99"/>
    <w:semiHidden/>
    <w:unhideWhenUsed/>
    <w:rsid w:val="00655A40"/>
    <w:rPr>
      <w:b/>
      <w:bCs/>
    </w:rPr>
  </w:style>
  <w:style w:type="character" w:customStyle="1" w:styleId="ObjetducommentaireCar">
    <w:name w:val="Objet du commentaire Car"/>
    <w:basedOn w:val="CommentaireCar"/>
    <w:link w:val="Objetducommentaire"/>
    <w:uiPriority w:val="99"/>
    <w:semiHidden/>
    <w:rsid w:val="00655A40"/>
    <w:rPr>
      <w:b/>
      <w:bCs/>
      <w:sz w:val="20"/>
      <w:szCs w:val="20"/>
    </w:rPr>
  </w:style>
  <w:style w:type="table" w:styleId="Grilledutableau">
    <w:name w:val="Table Grid"/>
    <w:basedOn w:val="TableauNormal"/>
    <w:uiPriority w:val="59"/>
    <w:rsid w:val="007559B1"/>
    <w:pPr>
      <w:spacing w:after="0" w:line="240" w:lineRule="auto"/>
    </w:pPr>
    <w:rPr>
      <w:rFonts w:ascii="Arial" w:eastAsiaTheme="minorEastAsia" w:hAnsi="Arial"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559B1"/>
    <w:rPr>
      <w:color w:val="954F72" w:themeColor="followedHyperlink"/>
      <w:u w:val="single"/>
    </w:rPr>
  </w:style>
  <w:style w:type="paragraph" w:customStyle="1" w:styleId="Default">
    <w:name w:val="Default"/>
    <w:rsid w:val="00F42A3F"/>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CA7744"/>
    <w:pPr>
      <w:tabs>
        <w:tab w:val="center" w:pos="4536"/>
        <w:tab w:val="right" w:pos="9072"/>
      </w:tabs>
    </w:pPr>
  </w:style>
  <w:style w:type="character" w:customStyle="1" w:styleId="En-tteCar">
    <w:name w:val="En-tête Car"/>
    <w:basedOn w:val="Policepardfaut"/>
    <w:link w:val="En-tte"/>
    <w:uiPriority w:val="99"/>
    <w:rsid w:val="00CA7744"/>
  </w:style>
  <w:style w:type="paragraph" w:styleId="Pieddepage">
    <w:name w:val="footer"/>
    <w:basedOn w:val="Normal"/>
    <w:link w:val="PieddepageCar"/>
    <w:uiPriority w:val="99"/>
    <w:unhideWhenUsed/>
    <w:rsid w:val="00CA7744"/>
    <w:pPr>
      <w:tabs>
        <w:tab w:val="center" w:pos="4536"/>
        <w:tab w:val="right" w:pos="9072"/>
      </w:tabs>
    </w:pPr>
  </w:style>
  <w:style w:type="character" w:customStyle="1" w:styleId="PieddepageCar">
    <w:name w:val="Pied de page Car"/>
    <w:basedOn w:val="Policepardfaut"/>
    <w:link w:val="Pieddepage"/>
    <w:uiPriority w:val="99"/>
    <w:rsid w:val="00CA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s://abc-economie.banque-france.fr/la-mesure-du-pouvoir-dach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negalites.f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ec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nsee.fr" TargetMode="External"/><Relationship Id="rId23" Type="http://schemas.openxmlformats.org/officeDocument/2006/relationships/footer" Target="footer2.xml"/><Relationship Id="rId10" Type="http://schemas.openxmlformats.org/officeDocument/2006/relationships/hyperlink" Target="https://cache.media.eduscol.education.fr/file/Droit_et_economie/60/7/RA19_Lycee_T_STMG_1_DroitEco_propensionConsommerEpargner_1162607.pdf" TargetMode="External"/><Relationship Id="rId19" Type="http://schemas.openxmlformats.org/officeDocument/2006/relationships/hyperlink" Target="https://abc-economie.banque-france.fr/leco-en-bref/les-inegalites-de-revenu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EDBE-91DF-4BBB-8D9E-07755160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3026</Words>
  <Characters>16646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MEN</cp:lastModifiedBy>
  <cp:revision>6</cp:revision>
  <dcterms:created xsi:type="dcterms:W3CDTF">2020-04-13T10:04:00Z</dcterms:created>
  <dcterms:modified xsi:type="dcterms:W3CDTF">2020-04-13T13:45:00Z</dcterms:modified>
</cp:coreProperties>
</file>