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C5" w:rsidRPr="00642D90" w:rsidRDefault="009833C5" w:rsidP="00983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right"/>
        <w:rPr>
          <w:rFonts w:eastAsia="Calibri"/>
          <w:sz w:val="22"/>
          <w:szCs w:val="22"/>
          <w:lang w:eastAsia="en-US"/>
        </w:rPr>
      </w:pPr>
      <w:r w:rsidRPr="00642D90">
        <w:rPr>
          <w:rFonts w:eastAsia="Calibri"/>
          <w:sz w:val="22"/>
          <w:szCs w:val="22"/>
          <w:lang w:eastAsia="en-US"/>
        </w:rPr>
        <w:t>ANNEXE 10</w:t>
      </w:r>
    </w:p>
    <w:p w:rsidR="009833C5" w:rsidRPr="00642D90" w:rsidRDefault="009833C5" w:rsidP="00983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42D90">
        <w:rPr>
          <w:rFonts w:eastAsia="Calibri"/>
          <w:b/>
          <w:bCs/>
          <w:sz w:val="22"/>
          <w:szCs w:val="22"/>
          <w:lang w:eastAsia="en-US"/>
        </w:rPr>
        <w:t xml:space="preserve">B.T.S. Management Commercial Opérationnel - </w:t>
      </w:r>
      <w:r>
        <w:rPr>
          <w:rFonts w:eastAsia="Calibri"/>
          <w:sz w:val="22"/>
          <w:szCs w:val="22"/>
          <w:lang w:eastAsia="en-US"/>
        </w:rPr>
        <w:t>Session 2022</w:t>
      </w:r>
    </w:p>
    <w:p w:rsidR="009833C5" w:rsidRPr="00642D90" w:rsidRDefault="009833C5" w:rsidP="00983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72C03">
        <w:rPr>
          <w:b/>
          <w:bCs/>
          <w:caps/>
        </w:rPr>
        <w:t>é</w:t>
      </w:r>
      <w:r w:rsidRPr="00642D90">
        <w:rPr>
          <w:rFonts w:eastAsia="Calibri"/>
          <w:b/>
          <w:bCs/>
          <w:sz w:val="22"/>
          <w:szCs w:val="22"/>
          <w:lang w:eastAsia="en-US"/>
        </w:rPr>
        <w:t>PREUVE DE D</w:t>
      </w:r>
      <w:r w:rsidRPr="00A72C03">
        <w:rPr>
          <w:b/>
          <w:bCs/>
          <w:caps/>
        </w:rPr>
        <w:t>é</w:t>
      </w:r>
      <w:r w:rsidRPr="00642D90">
        <w:rPr>
          <w:rFonts w:eastAsia="Calibri"/>
          <w:b/>
          <w:bCs/>
          <w:sz w:val="22"/>
          <w:szCs w:val="22"/>
          <w:lang w:eastAsia="en-US"/>
        </w:rPr>
        <w:t>VELOPPEMENT DE LA RELATION CLIENT ET VENTE CONSEIL (E41)</w:t>
      </w:r>
    </w:p>
    <w:p w:rsidR="009833C5" w:rsidRPr="00642D90" w:rsidRDefault="009833C5" w:rsidP="00983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eastAsia="Calibri"/>
          <w:sz w:val="22"/>
          <w:szCs w:val="22"/>
          <w:lang w:eastAsia="en-US"/>
        </w:rPr>
      </w:pPr>
      <w:r w:rsidRPr="00642D90">
        <w:rPr>
          <w:rFonts w:eastAsia="Calibri"/>
          <w:sz w:val="22"/>
          <w:szCs w:val="22"/>
          <w:lang w:eastAsia="en-US"/>
        </w:rPr>
        <w:t>GRILLE D’</w:t>
      </w:r>
      <w:r w:rsidRPr="00A72C03">
        <w:rPr>
          <w:rFonts w:eastAsia="Calibri"/>
          <w:sz w:val="22"/>
          <w:szCs w:val="22"/>
          <w:lang w:eastAsia="en-US"/>
        </w:rPr>
        <w:t>É</w:t>
      </w:r>
      <w:r w:rsidRPr="00642D90">
        <w:rPr>
          <w:rFonts w:eastAsia="Calibri"/>
          <w:sz w:val="22"/>
          <w:szCs w:val="22"/>
          <w:lang w:eastAsia="en-US"/>
        </w:rPr>
        <w:t>VALUATION</w:t>
      </w:r>
    </w:p>
    <w:p w:rsidR="009833C5" w:rsidRPr="00642D90" w:rsidRDefault="009833C5" w:rsidP="009833C5">
      <w:pPr>
        <w:spacing w:before="20" w:after="2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9833C5" w:rsidRPr="00642D90" w:rsidRDefault="009833C5" w:rsidP="009833C5">
      <w:pPr>
        <w:spacing w:before="20" w:after="2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42D90">
        <w:rPr>
          <w:rFonts w:eastAsia="Calibri"/>
          <w:b/>
          <w:bCs/>
          <w:sz w:val="22"/>
          <w:szCs w:val="22"/>
          <w:lang w:eastAsia="en-US"/>
        </w:rPr>
        <w:t>Forme Ponctuelle - Durée : 30 minutes</w:t>
      </w:r>
    </w:p>
    <w:p w:rsidR="009833C5" w:rsidRPr="00642D90" w:rsidRDefault="009833C5" w:rsidP="009833C5">
      <w:pPr>
        <w:spacing w:before="20" w:after="2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Grilledutableau1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833C5" w:rsidRPr="00642D90" w:rsidTr="00FB4110">
        <w:tc>
          <w:tcPr>
            <w:tcW w:w="4678" w:type="dxa"/>
            <w:shd w:val="clear" w:color="auto" w:fill="F2F2F2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CANDIDAT(</w:t>
            </w:r>
            <w:r w:rsidRPr="00642D90">
              <w:rPr>
                <w:rFonts w:eastAsia="Calibri"/>
                <w:b/>
                <w:bCs/>
                <w:lang w:eastAsia="en-US"/>
              </w:rPr>
              <w:t>E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4678" w:type="dxa"/>
            <w:shd w:val="clear" w:color="auto" w:fill="F2F2F2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MEMBRES DE LA COMMISSION N° </w:t>
            </w:r>
            <w:proofErr w:type="gramStart"/>
            <w:r w:rsidRPr="00642D90">
              <w:rPr>
                <w:rFonts w:eastAsia="Calibri"/>
                <w:b/>
                <w:bCs/>
                <w:lang w:eastAsia="en-US"/>
              </w:rPr>
              <w:t>…….</w:t>
            </w:r>
            <w:proofErr w:type="gramEnd"/>
          </w:p>
        </w:tc>
      </w:tr>
      <w:tr w:rsidR="009833C5" w:rsidRPr="00642D90" w:rsidTr="00FB4110">
        <w:tc>
          <w:tcPr>
            <w:tcW w:w="4678" w:type="dxa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Nom :</w:t>
            </w: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Prénom(s) :</w:t>
            </w: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 xml:space="preserve">Matricule : </w:t>
            </w:r>
          </w:p>
        </w:tc>
        <w:tc>
          <w:tcPr>
            <w:tcW w:w="4678" w:type="dxa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 xml:space="preserve">Noms : </w:t>
            </w: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  <w:r w:rsidRPr="00642D90">
              <w:rPr>
                <w:rFonts w:eastAsia="Calibri"/>
                <w:lang w:eastAsia="en-US"/>
              </w:rPr>
              <w:t xml:space="preserve">- </w:t>
            </w:r>
          </w:p>
          <w:p w:rsidR="009833C5" w:rsidRPr="00642D90" w:rsidRDefault="009833C5" w:rsidP="00FB4110">
            <w:pPr>
              <w:rPr>
                <w:rFonts w:eastAsia="Calibri"/>
                <w:bCs/>
                <w:lang w:eastAsia="en-US"/>
              </w:rPr>
            </w:pPr>
            <w:r w:rsidRPr="00642D90">
              <w:rPr>
                <w:rFonts w:eastAsia="Calibri"/>
                <w:bCs/>
                <w:lang w:eastAsia="en-US"/>
              </w:rPr>
              <w:t>-</w:t>
            </w: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Date :</w:t>
            </w:r>
          </w:p>
          <w:p w:rsidR="009833C5" w:rsidRPr="00642D90" w:rsidRDefault="009833C5" w:rsidP="00FB4110">
            <w:pPr>
              <w:rPr>
                <w:rFonts w:eastAsia="Calibri"/>
                <w:b/>
                <w:bCs/>
                <w:u w:val="single"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Signatures :</w:t>
            </w: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833C5" w:rsidRPr="00642D90" w:rsidTr="00FB4110">
        <w:tc>
          <w:tcPr>
            <w:tcW w:w="9356" w:type="dxa"/>
            <w:gridSpan w:val="2"/>
            <w:shd w:val="clear" w:color="auto" w:fill="F2F2F2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Partie 1 : Présentation du ou des contexte(s) des activités professionnelles et des compétences mobilisées (10 minutes maximum sans interruption du jury)</w:t>
            </w:r>
          </w:p>
        </w:tc>
      </w:tr>
      <w:tr w:rsidR="009833C5" w:rsidRPr="00642D90" w:rsidTr="00FB4110">
        <w:tc>
          <w:tcPr>
            <w:tcW w:w="9356" w:type="dxa"/>
            <w:gridSpan w:val="2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Observations de la commission sur la partie 1</w:t>
            </w: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En cas d’absence de présentation numérique, le préciser.</w:t>
            </w:r>
          </w:p>
        </w:tc>
      </w:tr>
      <w:tr w:rsidR="009833C5" w:rsidRPr="00642D90" w:rsidTr="00FB4110">
        <w:tc>
          <w:tcPr>
            <w:tcW w:w="9356" w:type="dxa"/>
            <w:gridSpan w:val="2"/>
            <w:shd w:val="clear" w:color="auto" w:fill="F2F2F2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Partie 2 : Entretien sur les compétences du bloc n°1 (20 minutes maximum)</w:t>
            </w:r>
          </w:p>
        </w:tc>
      </w:tr>
      <w:tr w:rsidR="009833C5" w:rsidRPr="00642D90" w:rsidTr="00FB4110">
        <w:tc>
          <w:tcPr>
            <w:tcW w:w="9356" w:type="dxa"/>
            <w:gridSpan w:val="2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Observations de la commission sur l’acquisition des compétences à partir du dossier numérique du candidat et des éléments apportés par le candidat</w:t>
            </w: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lang w:eastAsia="en-US"/>
              </w:rPr>
            </w:pPr>
          </w:p>
        </w:tc>
      </w:tr>
    </w:tbl>
    <w:p w:rsidR="009833C5" w:rsidRPr="00642D90" w:rsidRDefault="009833C5" w:rsidP="009833C5">
      <w:pPr>
        <w:spacing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Grilledutableau1"/>
        <w:tblW w:w="93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833C5" w:rsidRPr="00642D90" w:rsidTr="00FB4110">
        <w:trPr>
          <w:trHeight w:val="268"/>
        </w:trPr>
        <w:tc>
          <w:tcPr>
            <w:tcW w:w="1871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bookmarkStart w:id="0" w:name="_Hlk29393966"/>
            <w:r w:rsidRPr="00642D90">
              <w:rPr>
                <w:rFonts w:eastAsia="Calibri"/>
                <w:b/>
                <w:sz w:val="14"/>
                <w:szCs w:val="14"/>
                <w:lang w:eastAsia="en-US"/>
              </w:rPr>
              <w:t>Non évaluable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b/>
                <w:sz w:val="14"/>
                <w:szCs w:val="14"/>
                <w:lang w:eastAsia="en-US"/>
              </w:rPr>
              <w:t>Non maitrisé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b/>
                <w:sz w:val="14"/>
                <w:szCs w:val="14"/>
                <w:lang w:eastAsia="en-US"/>
              </w:rPr>
              <w:t>Maitrise partielle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b/>
                <w:sz w:val="14"/>
                <w:szCs w:val="14"/>
                <w:lang w:eastAsia="en-US"/>
              </w:rPr>
              <w:t>Bonne maitrise</w:t>
            </w:r>
          </w:p>
        </w:tc>
        <w:tc>
          <w:tcPr>
            <w:tcW w:w="1872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b/>
                <w:sz w:val="14"/>
                <w:szCs w:val="14"/>
                <w:lang w:eastAsia="en-US"/>
              </w:rPr>
              <w:t>Excellente maitrise</w:t>
            </w:r>
          </w:p>
        </w:tc>
      </w:tr>
      <w:tr w:rsidR="009833C5" w:rsidRPr="00642D90" w:rsidTr="00FB4110">
        <w:trPr>
          <w:trHeight w:val="281"/>
        </w:trPr>
        <w:tc>
          <w:tcPr>
            <w:tcW w:w="1871" w:type="dxa"/>
            <w:vMerge w:val="restart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Propose une méthodologie pertinente</w:t>
            </w:r>
          </w:p>
        </w:tc>
      </w:tr>
      <w:tr w:rsidR="009833C5" w:rsidRPr="00642D90" w:rsidTr="00FB4110">
        <w:trPr>
          <w:trHeight w:val="366"/>
        </w:trPr>
        <w:tc>
          <w:tcPr>
            <w:tcW w:w="1871" w:type="dxa"/>
            <w:vMerge/>
            <w:vAlign w:val="center"/>
          </w:tcPr>
          <w:p w:rsidR="009833C5" w:rsidRPr="00642D90" w:rsidRDefault="009833C5" w:rsidP="00FB4110">
            <w:pPr>
              <w:ind w:left="3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Adapte et/ou élabore des outils opérationnels</w:t>
            </w:r>
          </w:p>
        </w:tc>
      </w:tr>
      <w:tr w:rsidR="009833C5" w:rsidRPr="00642D90" w:rsidTr="00FB4110">
        <w:trPr>
          <w:trHeight w:val="245"/>
        </w:trPr>
        <w:tc>
          <w:tcPr>
            <w:tcW w:w="1871" w:type="dxa"/>
            <w:vMerge/>
            <w:vAlign w:val="center"/>
          </w:tcPr>
          <w:p w:rsidR="009833C5" w:rsidRPr="00642D90" w:rsidRDefault="009833C5" w:rsidP="00FB4110">
            <w:pPr>
              <w:ind w:left="3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Analyse et remédie</w:t>
            </w:r>
          </w:p>
        </w:tc>
      </w:tr>
      <w:tr w:rsidR="009833C5" w:rsidRPr="00642D90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9833C5" w:rsidRPr="00642D90" w:rsidRDefault="009833C5" w:rsidP="00FB4110">
            <w:pPr>
              <w:ind w:left="3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Fait adhérer</w:t>
            </w:r>
          </w:p>
        </w:tc>
      </w:tr>
      <w:tr w:rsidR="009833C5" w:rsidRPr="00642D90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9833C5" w:rsidRPr="00642D90" w:rsidRDefault="009833C5" w:rsidP="00FB4110">
            <w:pPr>
              <w:ind w:left="3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Produit des informations pertinentes et exploitables</w:t>
            </w:r>
          </w:p>
        </w:tc>
      </w:tr>
      <w:tr w:rsidR="009833C5" w:rsidRPr="00642D90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9833C5" w:rsidRPr="00642D90" w:rsidRDefault="009833C5" w:rsidP="00FB4110">
            <w:pPr>
              <w:ind w:left="360"/>
              <w:jc w:val="center"/>
              <w:rPr>
                <w:rFonts w:eastAsia="Calibri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Dépasse les objectifs</w:t>
            </w:r>
          </w:p>
        </w:tc>
      </w:tr>
      <w:tr w:rsidR="009833C5" w:rsidRPr="00642D90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9833C5" w:rsidRPr="00642D90" w:rsidRDefault="009833C5" w:rsidP="00FB4110">
            <w:pPr>
              <w:ind w:left="3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Est force de proposition</w:t>
            </w:r>
          </w:p>
        </w:tc>
      </w:tr>
      <w:tr w:rsidR="009833C5" w:rsidRPr="00642D90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9833C5" w:rsidRPr="00642D90" w:rsidRDefault="009833C5" w:rsidP="00FB4110">
            <w:pPr>
              <w:ind w:left="3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2D90">
              <w:rPr>
                <w:rFonts w:eastAsia="Calibri"/>
                <w:sz w:val="14"/>
                <w:szCs w:val="14"/>
                <w:lang w:eastAsia="en-US"/>
              </w:rPr>
              <w:t>Anticipe les contraintes</w:t>
            </w:r>
          </w:p>
        </w:tc>
      </w:tr>
      <w:bookmarkEnd w:id="0"/>
    </w:tbl>
    <w:p w:rsidR="009833C5" w:rsidRDefault="009833C5" w:rsidP="009833C5">
      <w:pPr>
        <w:spacing w:after="160" w:line="259" w:lineRule="auto"/>
        <w:jc w:val="right"/>
        <w:rPr>
          <w:rFonts w:eastAsia="Calibri"/>
          <w:lang w:eastAsia="en-US"/>
        </w:rPr>
      </w:pPr>
    </w:p>
    <w:p w:rsidR="009833C5" w:rsidRDefault="009833C5" w:rsidP="009833C5">
      <w:pPr>
        <w:spacing w:after="160" w:line="259" w:lineRule="auto"/>
        <w:jc w:val="right"/>
        <w:rPr>
          <w:rFonts w:eastAsia="Calibri"/>
          <w:lang w:eastAsia="en-US"/>
        </w:rPr>
        <w:sectPr w:rsidR="009833C5" w:rsidSect="003D1A9A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bookmarkStart w:id="1" w:name="_GoBack"/>
      <w:bookmarkEnd w:id="1"/>
    </w:p>
    <w:p w:rsidR="009833C5" w:rsidRPr="00EE7B49" w:rsidRDefault="009833C5" w:rsidP="009833C5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  <w:sectPr w:rsidR="009833C5" w:rsidRPr="00EE7B49" w:rsidSect="009833C5">
          <w:pgSz w:w="16838" w:h="11906" w:orient="landscape"/>
          <w:pgMar w:top="1418" w:right="567" w:bottom="1418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67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276"/>
        <w:gridCol w:w="1276"/>
        <w:gridCol w:w="1134"/>
        <w:gridCol w:w="4678"/>
      </w:tblGrid>
      <w:tr w:rsidR="009833C5" w:rsidRPr="00642D90" w:rsidTr="00FB4110">
        <w:tc>
          <w:tcPr>
            <w:tcW w:w="4820" w:type="dxa"/>
            <w:vMerge w:val="restart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Compétences</w:t>
            </w:r>
          </w:p>
        </w:tc>
        <w:tc>
          <w:tcPr>
            <w:tcW w:w="6237" w:type="dxa"/>
            <w:gridSpan w:val="5"/>
            <w:shd w:val="clear" w:color="auto" w:fill="F2F2F2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NIVEAUX DE MAITRISE DES COMPETENCES</w:t>
            </w:r>
          </w:p>
        </w:tc>
        <w:tc>
          <w:tcPr>
            <w:tcW w:w="4678" w:type="dxa"/>
            <w:vMerge w:val="restart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Critères d’évaluation</w:t>
            </w:r>
          </w:p>
        </w:tc>
      </w:tr>
      <w:tr w:rsidR="009833C5" w:rsidRPr="00642D90" w:rsidTr="00FB4110">
        <w:tc>
          <w:tcPr>
            <w:tcW w:w="4820" w:type="dxa"/>
            <w:vMerge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Non évaluable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Non maitrisé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Maitrise partielle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Bonne maitrise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Excellente maitrise</w:t>
            </w:r>
          </w:p>
        </w:tc>
        <w:tc>
          <w:tcPr>
            <w:tcW w:w="4678" w:type="dxa"/>
            <w:vMerge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33C5" w:rsidRPr="00642D90" w:rsidTr="00FB4110">
        <w:tc>
          <w:tcPr>
            <w:tcW w:w="4820" w:type="dxa"/>
            <w:vAlign w:val="center"/>
          </w:tcPr>
          <w:p w:rsidR="009833C5" w:rsidRPr="00642D90" w:rsidRDefault="009833C5" w:rsidP="00FB4110">
            <w:pPr>
              <w:spacing w:line="259" w:lineRule="auto"/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  <w:t xml:space="preserve">Assurer la veille informationnelle : 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Rechercher et mettre à jour l’information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 xml:space="preserve">Mobiliser les ressources numériques 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Sélectionner l’information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Hiérarchiser l’information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Analyser l’information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Exploiter l’information pour la prise de décision</w:t>
            </w: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Les techniques et outils de la veille commerciale sont appropriés.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L’information produite est fiable et pertinente pour la prise de décision.</w:t>
            </w:r>
          </w:p>
        </w:tc>
      </w:tr>
      <w:tr w:rsidR="009833C5" w:rsidRPr="00642D90" w:rsidTr="00FB4110">
        <w:tc>
          <w:tcPr>
            <w:tcW w:w="4820" w:type="dxa"/>
            <w:vAlign w:val="center"/>
          </w:tcPr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  <w:t>Réaliser et exploiter des études commerciales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Construire une méthodologie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Recueillir les données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Exploiter les résultats</w:t>
            </w:r>
            <w:r w:rsidRPr="00642D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Les méthodologies d’études sont adaptées au contexte.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Les résultats des études sont exploitables</w:t>
            </w:r>
            <w:r w:rsidRPr="00642D9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9833C5" w:rsidRPr="00642D90" w:rsidTr="00FB4110">
        <w:tc>
          <w:tcPr>
            <w:tcW w:w="4820" w:type="dxa"/>
            <w:vAlign w:val="center"/>
          </w:tcPr>
          <w:p w:rsidR="009833C5" w:rsidRPr="00642D90" w:rsidRDefault="009833C5" w:rsidP="00FB4110">
            <w:pPr>
              <w:spacing w:line="259" w:lineRule="auto"/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  <w:t>Vendre dans un contexte omnicanal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Préparer la vente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Accueillir le client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Conseiller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Argumenter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Conclure la vente</w:t>
            </w:r>
            <w:r w:rsidRPr="00642D9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spacing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La démarche de vente conseil est pertinente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Les attentes du client et leurs évolutions sont prises en compte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Les objectifs de vente, de fidélisation et d’accroissement de la « valeur client » sont atteints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- La communication est mise en œuvre au service de l’efficacité relationnelle</w:t>
            </w:r>
          </w:p>
        </w:tc>
      </w:tr>
      <w:tr w:rsidR="009833C5" w:rsidRPr="00642D90" w:rsidTr="00FB4110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833C5" w:rsidRPr="00642D90" w:rsidRDefault="009833C5" w:rsidP="00FB4110">
            <w:pPr>
              <w:spacing w:line="259" w:lineRule="auto"/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42D90"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  <w:t>Entretenir la relation client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Suivre les évolutions des attentes du client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Évaluer l’expérience client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Accompagner le client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Fidéliser la clientèle</w:t>
            </w:r>
          </w:p>
          <w:p w:rsidR="009833C5" w:rsidRPr="00642D90" w:rsidRDefault="009833C5" w:rsidP="00FB411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2D90">
              <w:rPr>
                <w:rFonts w:eastAsia="Calibri"/>
                <w:sz w:val="18"/>
                <w:szCs w:val="18"/>
                <w:lang w:eastAsia="en-US"/>
              </w:rPr>
              <w:t>Accroitre la « valeur client 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3C5" w:rsidRPr="00642D90" w:rsidRDefault="009833C5" w:rsidP="00FB411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33C5" w:rsidRPr="00642D90" w:rsidRDefault="009833C5" w:rsidP="00FB4110">
            <w:pPr>
              <w:shd w:val="clear" w:color="auto" w:fill="F2F2F2"/>
              <w:spacing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- Les techniques de fidélisation mises en œuvre sont adaptées. </w:t>
            </w:r>
          </w:p>
          <w:p w:rsidR="009833C5" w:rsidRPr="00642D90" w:rsidRDefault="009833C5" w:rsidP="00FB4110">
            <w:pPr>
              <w:shd w:val="clear" w:color="auto" w:fill="F2F2F2"/>
              <w:spacing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- Les objectifs de vente, de fidélisation et d’accroissement de la « valeur client » sont atteints. </w:t>
            </w:r>
          </w:p>
          <w:p w:rsidR="009833C5" w:rsidRPr="00642D90" w:rsidRDefault="009833C5" w:rsidP="00FB4110">
            <w:pPr>
              <w:shd w:val="clear" w:color="auto" w:fill="F2F2F2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2D9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- La communication est mise en œuvre au service de l’efficacité relationnelle</w:t>
            </w:r>
          </w:p>
        </w:tc>
      </w:tr>
    </w:tbl>
    <w:p w:rsidR="009833C5" w:rsidRPr="00642D90" w:rsidRDefault="009833C5" w:rsidP="009833C5">
      <w:pPr>
        <w:spacing w:line="259" w:lineRule="auto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Style w:val="Grilledutableau1"/>
        <w:tblW w:w="15730" w:type="dxa"/>
        <w:tblLook w:val="04A0" w:firstRow="1" w:lastRow="0" w:firstColumn="1" w:lastColumn="0" w:noHBand="0" w:noVBand="1"/>
      </w:tblPr>
      <w:tblGrid>
        <w:gridCol w:w="13036"/>
        <w:gridCol w:w="2694"/>
      </w:tblGrid>
      <w:tr w:rsidR="009833C5" w:rsidRPr="00642D90" w:rsidTr="00FB4110">
        <w:trPr>
          <w:trHeight w:val="365"/>
        </w:trPr>
        <w:tc>
          <w:tcPr>
            <w:tcW w:w="13036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  <w:bookmarkStart w:id="2" w:name="_Hlk29395520"/>
            <w:r w:rsidRPr="00642D90">
              <w:rPr>
                <w:rFonts w:eastAsia="Calibri"/>
                <w:b/>
                <w:bCs/>
                <w:lang w:eastAsia="en-US"/>
              </w:rPr>
              <w:t>COMMENTAIRES DE LA COMMISSION SUR LES NIVEAUX DE MAITRISE DES COMP</w:t>
            </w:r>
            <w:r w:rsidRPr="00A72C03">
              <w:rPr>
                <w:b/>
                <w:bCs/>
                <w:caps/>
              </w:rPr>
              <w:t>é</w:t>
            </w:r>
            <w:r w:rsidRPr="00642D90">
              <w:rPr>
                <w:rFonts w:eastAsia="Calibri"/>
                <w:b/>
                <w:bCs/>
                <w:lang w:eastAsia="en-US"/>
              </w:rPr>
              <w:t>TENCES (justification de la note)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bCs/>
                <w:vertAlign w:val="superscript"/>
                <w:lang w:eastAsia="en-US"/>
              </w:rPr>
            </w:pPr>
            <w:r w:rsidRPr="00642D90">
              <w:rPr>
                <w:rFonts w:eastAsia="Calibri"/>
                <w:b/>
                <w:bCs/>
                <w:lang w:eastAsia="en-US"/>
              </w:rPr>
              <w:t>NOTE SUR 20</w:t>
            </w:r>
          </w:p>
        </w:tc>
      </w:tr>
      <w:tr w:rsidR="009833C5" w:rsidRPr="00642D90" w:rsidTr="00FB4110">
        <w:tc>
          <w:tcPr>
            <w:tcW w:w="13036" w:type="dxa"/>
          </w:tcPr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  <w:p w:rsidR="009833C5" w:rsidRPr="00642D90" w:rsidRDefault="009833C5" w:rsidP="00FB411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833C5" w:rsidRPr="00642D90" w:rsidRDefault="009833C5" w:rsidP="00FB411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</w:p>
        </w:tc>
      </w:tr>
      <w:bookmarkEnd w:id="2"/>
    </w:tbl>
    <w:p w:rsidR="009833C5" w:rsidRPr="00642D90" w:rsidRDefault="009833C5" w:rsidP="009833C5">
      <w:pPr>
        <w:rPr>
          <w:sz w:val="20"/>
          <w:szCs w:val="20"/>
        </w:rPr>
      </w:pPr>
    </w:p>
    <w:p w:rsidR="00442A12" w:rsidRDefault="00442A12"/>
    <w:sectPr w:rsidR="00442A12" w:rsidSect="009833C5">
      <w:pgSz w:w="16838" w:h="11906" w:orient="landscape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C5"/>
    <w:rsid w:val="00183E12"/>
    <w:rsid w:val="00442A12"/>
    <w:rsid w:val="009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04BC"/>
  <w15:chartTrackingRefBased/>
  <w15:docId w15:val="{5613EA77-5759-4F87-915E-F860AE65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8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8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2022-01-19T12:48:00Z</dcterms:created>
  <dcterms:modified xsi:type="dcterms:W3CDTF">2022-01-19T12:50:00Z</dcterms:modified>
</cp:coreProperties>
</file>