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1D9B" w14:textId="77777777" w:rsidR="001B2A6F" w:rsidRDefault="001B2A6F">
      <w:pPr>
        <w:spacing w:after="0" w:line="240" w:lineRule="auto"/>
        <w:rPr>
          <w:rFonts w:cs="Calibri"/>
          <w:b/>
          <w:i/>
        </w:rPr>
      </w:pPr>
    </w:p>
    <w:p w14:paraId="7C2984B8" w14:textId="77777777" w:rsidR="00145E3A" w:rsidRDefault="00145E3A" w:rsidP="00054DC8">
      <w:pPr>
        <w:spacing w:after="0"/>
        <w:rPr>
          <w:rFonts w:cs="Calibri"/>
          <w:b/>
          <w:i/>
        </w:rPr>
      </w:pPr>
    </w:p>
    <w:p w14:paraId="5FD576A3" w14:textId="77777777" w:rsidR="00145E3A" w:rsidRDefault="00145E3A">
      <w:pPr>
        <w:spacing w:after="0" w:line="240" w:lineRule="auto"/>
        <w:rPr>
          <w:rFonts w:cs="Calibri"/>
          <w:b/>
          <w:i/>
        </w:rPr>
      </w:pPr>
    </w:p>
    <w:p w14:paraId="1B35255B" w14:textId="77777777" w:rsidR="00983E00" w:rsidRDefault="00666BB5" w:rsidP="00690D4D">
      <w:pPr>
        <w:pBdr>
          <w:bottom w:val="single" w:sz="6" w:space="1" w:color="000000"/>
        </w:pBdr>
        <w:spacing w:after="0" w:line="240" w:lineRule="auto"/>
        <w:jc w:val="center"/>
        <w:rPr>
          <w:b/>
          <w:sz w:val="28"/>
          <w:szCs w:val="28"/>
        </w:rPr>
      </w:pPr>
      <w:r>
        <w:rPr>
          <w:rFonts w:cs="Calibri"/>
          <w:b/>
          <w:sz w:val="28"/>
          <w:szCs w:val="28"/>
        </w:rPr>
        <w:t>Savoirs et CEJM appliquée</w:t>
      </w:r>
    </w:p>
    <w:p w14:paraId="60E6DB3D" w14:textId="77777777" w:rsidR="00723420" w:rsidRPr="008A7348" w:rsidRDefault="00723420" w:rsidP="006C53C3">
      <w:pPr>
        <w:spacing w:after="0"/>
        <w:rPr>
          <w:rFonts w:cs="Calibri"/>
          <w:b/>
          <w:i/>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8364"/>
      </w:tblGrid>
      <w:tr w:rsidR="00983E00" w:rsidRPr="008A7348" w14:paraId="22E525B0" w14:textId="77777777" w:rsidTr="000F5F81">
        <w:tc>
          <w:tcPr>
            <w:tcW w:w="14318" w:type="dxa"/>
            <w:gridSpan w:val="2"/>
          </w:tcPr>
          <w:p w14:paraId="1375A26F" w14:textId="77777777" w:rsidR="00983E00" w:rsidRDefault="00983E00" w:rsidP="00983E00">
            <w:pPr>
              <w:spacing w:after="0"/>
              <w:jc w:val="center"/>
              <w:rPr>
                <w:rFonts w:cs="Arial"/>
                <w:b/>
              </w:rPr>
            </w:pPr>
            <w:r w:rsidRPr="00054DC8">
              <w:rPr>
                <w:rFonts w:cs="Arial"/>
                <w:b/>
                <w:sz w:val="36"/>
                <w:szCs w:val="36"/>
              </w:rPr>
              <w:t>Bloc de compétence n°1 :</w:t>
            </w:r>
            <w:r w:rsidRPr="00983E00">
              <w:rPr>
                <w:rFonts w:cs="Arial"/>
                <w:b/>
              </w:rPr>
              <w:t xml:space="preserve"> Développer la relation client et assurer la vente conseil</w:t>
            </w:r>
          </w:p>
        </w:tc>
      </w:tr>
      <w:tr w:rsidR="00983E00" w:rsidRPr="008A7348" w14:paraId="570F594A" w14:textId="77777777" w:rsidTr="000F5F81">
        <w:tc>
          <w:tcPr>
            <w:tcW w:w="14318" w:type="dxa"/>
            <w:gridSpan w:val="2"/>
          </w:tcPr>
          <w:p w14:paraId="4BE38E9A" w14:textId="77777777" w:rsidR="00EC4E44" w:rsidRPr="00983E00" w:rsidRDefault="00EC4E44" w:rsidP="00EC4E44">
            <w:pPr>
              <w:spacing w:after="0"/>
              <w:jc w:val="center"/>
              <w:rPr>
                <w:rFonts w:cs="Arial"/>
                <w:b/>
                <w:i/>
              </w:rPr>
            </w:pPr>
            <w:r w:rsidRPr="00983E00">
              <w:rPr>
                <w:rFonts w:cs="Arial"/>
                <w:b/>
                <w:i/>
              </w:rPr>
              <w:t>Assurer la veille informationnelle</w:t>
            </w:r>
          </w:p>
          <w:p w14:paraId="73E29697" w14:textId="77777777" w:rsidR="00983E00" w:rsidRPr="00983E00" w:rsidRDefault="00983E00" w:rsidP="00983E00">
            <w:pPr>
              <w:spacing w:after="0"/>
              <w:jc w:val="center"/>
              <w:rPr>
                <w:rFonts w:cs="Arial"/>
                <w:b/>
                <w:i/>
              </w:rPr>
            </w:pPr>
            <w:r w:rsidRPr="00983E00">
              <w:rPr>
                <w:rFonts w:cs="Arial"/>
                <w:b/>
                <w:i/>
              </w:rPr>
              <w:t>Réaliser</w:t>
            </w:r>
            <w:r w:rsidR="00CF05E9">
              <w:rPr>
                <w:rFonts w:cs="Arial"/>
                <w:b/>
                <w:i/>
              </w:rPr>
              <w:t xml:space="preserve"> et exploiter</w:t>
            </w:r>
            <w:r w:rsidRPr="00983E00">
              <w:rPr>
                <w:rFonts w:cs="Arial"/>
                <w:b/>
                <w:i/>
              </w:rPr>
              <w:t xml:space="preserve"> des études commerciales</w:t>
            </w:r>
          </w:p>
          <w:p w14:paraId="56B8073B" w14:textId="77777777" w:rsidR="00983E00" w:rsidRPr="00983E00" w:rsidRDefault="00983E00" w:rsidP="00983E00">
            <w:pPr>
              <w:spacing w:after="0"/>
              <w:jc w:val="center"/>
              <w:rPr>
                <w:rFonts w:cs="Arial"/>
                <w:b/>
                <w:i/>
              </w:rPr>
            </w:pPr>
            <w:r w:rsidRPr="00983E00">
              <w:rPr>
                <w:rFonts w:cs="Arial"/>
                <w:b/>
                <w:i/>
              </w:rPr>
              <w:t>Vendre</w:t>
            </w:r>
            <w:r w:rsidR="00CF05E9">
              <w:rPr>
                <w:rFonts w:cs="Arial"/>
                <w:b/>
                <w:i/>
              </w:rPr>
              <w:t xml:space="preserve"> dans un contexte omnicanal</w:t>
            </w:r>
          </w:p>
          <w:p w14:paraId="6CFA3D52" w14:textId="77777777" w:rsidR="00983E00" w:rsidRPr="00983E00" w:rsidRDefault="00983E00" w:rsidP="00983E00">
            <w:pPr>
              <w:spacing w:after="0"/>
              <w:jc w:val="center"/>
              <w:rPr>
                <w:rFonts w:cs="Arial"/>
                <w:b/>
              </w:rPr>
            </w:pPr>
            <w:r w:rsidRPr="00983E00">
              <w:rPr>
                <w:rFonts w:cs="Arial"/>
                <w:b/>
                <w:i/>
              </w:rPr>
              <w:t>Entretenir la relation client</w:t>
            </w:r>
          </w:p>
        </w:tc>
      </w:tr>
      <w:tr w:rsidR="000E5956" w:rsidRPr="008A7348" w14:paraId="5F6B7503" w14:textId="77777777" w:rsidTr="000E5956">
        <w:tc>
          <w:tcPr>
            <w:tcW w:w="5954" w:type="dxa"/>
          </w:tcPr>
          <w:p w14:paraId="02E1584F" w14:textId="77777777" w:rsidR="000E5956" w:rsidRPr="008A7348" w:rsidRDefault="000E5956" w:rsidP="001D7CCC">
            <w:pPr>
              <w:spacing w:after="0"/>
              <w:ind w:left="34"/>
              <w:jc w:val="center"/>
              <w:rPr>
                <w:rFonts w:cs="Arial"/>
                <w:b/>
              </w:rPr>
            </w:pPr>
            <w:r w:rsidRPr="008A7348">
              <w:rPr>
                <w:rFonts w:cs="Arial"/>
                <w:b/>
              </w:rPr>
              <w:t>Savoirs</w:t>
            </w:r>
            <w:r w:rsidR="00983E00">
              <w:rPr>
                <w:rFonts w:cs="Arial"/>
                <w:b/>
              </w:rPr>
              <w:t xml:space="preserve"> associés</w:t>
            </w:r>
          </w:p>
        </w:tc>
        <w:tc>
          <w:tcPr>
            <w:tcW w:w="8364" w:type="dxa"/>
          </w:tcPr>
          <w:p w14:paraId="1A057BCF" w14:textId="77777777" w:rsidR="000E5956" w:rsidRPr="008A7348" w:rsidRDefault="000E5956" w:rsidP="001D7CCC">
            <w:pPr>
              <w:spacing w:after="0"/>
              <w:jc w:val="center"/>
              <w:rPr>
                <w:rFonts w:cs="Arial"/>
                <w:b/>
              </w:rPr>
            </w:pPr>
            <w:r>
              <w:rPr>
                <w:rFonts w:cs="Arial"/>
                <w:b/>
              </w:rPr>
              <w:t>Notions</w:t>
            </w:r>
          </w:p>
        </w:tc>
      </w:tr>
      <w:tr w:rsidR="000E5956" w:rsidRPr="008A7348" w14:paraId="6BA2C8D8" w14:textId="77777777" w:rsidTr="000E5956">
        <w:tc>
          <w:tcPr>
            <w:tcW w:w="5954" w:type="dxa"/>
          </w:tcPr>
          <w:p w14:paraId="3874E981" w14:textId="77777777" w:rsidR="000E5956" w:rsidRPr="008A7348" w:rsidRDefault="000E5956" w:rsidP="001D7CCC">
            <w:pPr>
              <w:spacing w:after="0"/>
              <w:ind w:left="34"/>
              <w:rPr>
                <w:rFonts w:cs="Arial"/>
                <w:b/>
                <w:color w:val="CC0099"/>
              </w:rPr>
            </w:pPr>
            <w:r w:rsidRPr="008A7348">
              <w:rPr>
                <w:rFonts w:cs="Arial"/>
                <w:b/>
                <w:color w:val="CC0099"/>
              </w:rPr>
              <w:t>Le cadre légal et réglementaire de la relation client et de la vente conseil</w:t>
            </w:r>
          </w:p>
          <w:p w14:paraId="782EC58A" w14:textId="77777777" w:rsidR="000E5956" w:rsidRPr="008A7348" w:rsidRDefault="000E5956" w:rsidP="001D7CCC">
            <w:pPr>
              <w:spacing w:after="0"/>
              <w:ind w:left="34"/>
              <w:rPr>
                <w:rFonts w:cs="Arial"/>
                <w:color w:val="00B050"/>
              </w:rPr>
            </w:pPr>
          </w:p>
        </w:tc>
        <w:tc>
          <w:tcPr>
            <w:tcW w:w="8364" w:type="dxa"/>
          </w:tcPr>
          <w:p w14:paraId="355D2A82" w14:textId="77777777" w:rsidR="000E5956" w:rsidRPr="00891208" w:rsidRDefault="000E5956" w:rsidP="007657D6">
            <w:pPr>
              <w:spacing w:after="0"/>
              <w:ind w:left="34"/>
              <w:contextualSpacing/>
              <w:rPr>
                <w:rFonts w:cs="Arial"/>
                <w:b/>
                <w:color w:val="CC0099"/>
              </w:rPr>
            </w:pPr>
            <w:r w:rsidRPr="00891208">
              <w:rPr>
                <w:rFonts w:cs="Arial"/>
                <w:b/>
                <w:color w:val="CC0099"/>
              </w:rPr>
              <w:t>La réglementation des méthodes de vente</w:t>
            </w:r>
          </w:p>
          <w:p w14:paraId="52347BF1" w14:textId="77777777" w:rsidR="000E5956" w:rsidRPr="00B7376C" w:rsidRDefault="00766A48" w:rsidP="007657D6">
            <w:pPr>
              <w:spacing w:after="0"/>
              <w:ind w:left="34"/>
              <w:contextualSpacing/>
              <w:rPr>
                <w:rFonts w:cs="Arial"/>
                <w:b/>
                <w:color w:val="CC0099"/>
              </w:rPr>
            </w:pPr>
            <w:r w:rsidRPr="00B7376C">
              <w:rPr>
                <w:rFonts w:cs="Arial"/>
                <w:b/>
                <w:color w:val="CC0099"/>
              </w:rPr>
              <w:t>La réglementation des méthodes de vente directe, à distance</w:t>
            </w:r>
          </w:p>
          <w:p w14:paraId="4283A7AA" w14:textId="77777777" w:rsidR="00766A48" w:rsidRPr="00B7376C" w:rsidRDefault="00766A48" w:rsidP="007657D6">
            <w:pPr>
              <w:spacing w:after="0"/>
              <w:ind w:left="34"/>
              <w:contextualSpacing/>
              <w:rPr>
                <w:rFonts w:cs="Arial"/>
                <w:b/>
                <w:color w:val="CC0099"/>
              </w:rPr>
            </w:pPr>
          </w:p>
          <w:p w14:paraId="4FC3F9CD" w14:textId="77777777" w:rsidR="000E5956" w:rsidRPr="00891208" w:rsidRDefault="000E5956" w:rsidP="007657D6">
            <w:pPr>
              <w:spacing w:after="0"/>
              <w:ind w:left="34"/>
              <w:contextualSpacing/>
              <w:rPr>
                <w:rFonts w:cs="Arial"/>
                <w:b/>
                <w:color w:val="CC0099"/>
              </w:rPr>
            </w:pPr>
            <w:r w:rsidRPr="00891208">
              <w:rPr>
                <w:rFonts w:cs="Arial"/>
                <w:b/>
                <w:color w:val="CC0099"/>
              </w:rPr>
              <w:t>La règlementation liée à la recherche, au stockage, au traitement et à la diffusion de l’information commerciale</w:t>
            </w:r>
          </w:p>
          <w:p w14:paraId="2C530D88" w14:textId="77777777" w:rsidR="000E5956" w:rsidRPr="00B7376C" w:rsidRDefault="000E5956" w:rsidP="007657D6">
            <w:pPr>
              <w:spacing w:after="0"/>
              <w:ind w:left="34"/>
              <w:contextualSpacing/>
              <w:rPr>
                <w:rFonts w:cs="Arial"/>
                <w:b/>
                <w:color w:val="CC0099"/>
              </w:rPr>
            </w:pPr>
            <w:r w:rsidRPr="00B7376C">
              <w:rPr>
                <w:rFonts w:cs="Arial"/>
                <w:b/>
                <w:color w:val="CC0099"/>
              </w:rPr>
              <w:t>La protection des données</w:t>
            </w:r>
          </w:p>
          <w:p w14:paraId="093AEF01" w14:textId="77777777" w:rsidR="000E5956" w:rsidRPr="00B7376C" w:rsidRDefault="000E5956" w:rsidP="007657D6">
            <w:pPr>
              <w:spacing w:after="0"/>
              <w:ind w:left="34"/>
              <w:contextualSpacing/>
              <w:rPr>
                <w:rFonts w:cs="Arial"/>
                <w:b/>
                <w:color w:val="CC0099"/>
              </w:rPr>
            </w:pPr>
          </w:p>
          <w:p w14:paraId="34EFAF9D" w14:textId="77777777" w:rsidR="000E5956" w:rsidRPr="00B7376C" w:rsidRDefault="000E5956" w:rsidP="00891208">
            <w:pPr>
              <w:spacing w:after="0"/>
              <w:contextualSpacing/>
              <w:rPr>
                <w:rFonts w:cs="Arial"/>
                <w:b/>
                <w:color w:val="CC0099"/>
              </w:rPr>
            </w:pPr>
            <w:r w:rsidRPr="00891208">
              <w:rPr>
                <w:rFonts w:cs="Arial"/>
                <w:b/>
                <w:color w:val="CC0099"/>
              </w:rPr>
              <w:t>Le</w:t>
            </w:r>
            <w:r w:rsidRPr="00B7376C">
              <w:rPr>
                <w:rFonts w:cs="Arial"/>
                <w:b/>
                <w:color w:val="CC0099"/>
              </w:rPr>
              <w:t xml:space="preserve"> </w:t>
            </w:r>
            <w:r w:rsidRPr="00891208">
              <w:rPr>
                <w:rFonts w:cs="Arial"/>
                <w:b/>
                <w:color w:val="CC0099"/>
              </w:rPr>
              <w:t>contrat de vente</w:t>
            </w:r>
          </w:p>
          <w:p w14:paraId="6A30E0FD" w14:textId="77777777" w:rsidR="00766A48" w:rsidRPr="00B7376C" w:rsidRDefault="00766A48" w:rsidP="007657D6">
            <w:pPr>
              <w:spacing w:after="0"/>
              <w:ind w:left="34"/>
              <w:contextualSpacing/>
              <w:rPr>
                <w:rFonts w:cs="Arial"/>
                <w:b/>
                <w:color w:val="CC0099"/>
              </w:rPr>
            </w:pPr>
            <w:r w:rsidRPr="00B7376C">
              <w:rPr>
                <w:rFonts w:cs="Arial"/>
                <w:b/>
                <w:color w:val="CC0099"/>
              </w:rPr>
              <w:t>Les mentions obligatoires du contrat de vente</w:t>
            </w:r>
          </w:p>
          <w:p w14:paraId="70344AA2" w14:textId="77777777" w:rsidR="000E5956" w:rsidRPr="00B7376C" w:rsidRDefault="000E5956" w:rsidP="007657D6">
            <w:pPr>
              <w:spacing w:after="0"/>
              <w:ind w:left="34"/>
              <w:contextualSpacing/>
              <w:rPr>
                <w:rFonts w:cs="Arial"/>
                <w:b/>
                <w:color w:val="CC0099"/>
              </w:rPr>
            </w:pPr>
            <w:r w:rsidRPr="00B7376C">
              <w:rPr>
                <w:rFonts w:cs="Arial"/>
                <w:b/>
                <w:color w:val="CC0099"/>
              </w:rPr>
              <w:t>Les clauses abusives</w:t>
            </w:r>
          </w:p>
          <w:p w14:paraId="21202B4E" w14:textId="77777777" w:rsidR="000E5956" w:rsidRPr="00B7376C" w:rsidRDefault="000E5956" w:rsidP="007657D6">
            <w:pPr>
              <w:spacing w:after="0"/>
              <w:ind w:left="34"/>
              <w:contextualSpacing/>
              <w:rPr>
                <w:rFonts w:cs="Arial"/>
                <w:b/>
                <w:color w:val="CC0099"/>
              </w:rPr>
            </w:pPr>
          </w:p>
          <w:p w14:paraId="6A2A0BF3" w14:textId="77777777" w:rsidR="000E5956" w:rsidRPr="00891208" w:rsidRDefault="000E5956" w:rsidP="007657D6">
            <w:pPr>
              <w:spacing w:after="0"/>
              <w:contextualSpacing/>
              <w:rPr>
                <w:rFonts w:cs="Arial"/>
                <w:b/>
                <w:color w:val="CC0099"/>
              </w:rPr>
            </w:pPr>
            <w:r w:rsidRPr="00891208">
              <w:rPr>
                <w:rFonts w:cs="Arial"/>
                <w:b/>
                <w:color w:val="CC0099"/>
              </w:rPr>
              <w:t>La réglementation du marketing après-vente</w:t>
            </w:r>
            <w:r w:rsidR="00C21273" w:rsidRPr="00891208">
              <w:rPr>
                <w:rFonts w:cs="Arial"/>
                <w:b/>
                <w:color w:val="CC0099"/>
              </w:rPr>
              <w:t xml:space="preserve"> </w:t>
            </w:r>
          </w:p>
          <w:p w14:paraId="6A196774" w14:textId="77777777" w:rsidR="002D6C49" w:rsidRPr="00B7376C" w:rsidRDefault="00891208" w:rsidP="007657D6">
            <w:pPr>
              <w:spacing w:after="0"/>
              <w:contextualSpacing/>
              <w:rPr>
                <w:rFonts w:cs="Arial"/>
                <w:b/>
                <w:color w:val="CC0099"/>
              </w:rPr>
            </w:pPr>
            <w:r w:rsidRPr="00B7376C">
              <w:rPr>
                <w:rFonts w:cs="Arial"/>
                <w:b/>
                <w:color w:val="CC0099"/>
              </w:rPr>
              <w:t>La réglementation liée au marketing après-vente : Opt-in, droit au désabonnement, identification de l’expéditeur, horaires d’envoi des campagnes de M-Mailing</w:t>
            </w:r>
          </w:p>
        </w:tc>
      </w:tr>
      <w:tr w:rsidR="000E5956" w:rsidRPr="008A7348" w14:paraId="128C4014" w14:textId="77777777" w:rsidTr="000E5956">
        <w:tc>
          <w:tcPr>
            <w:tcW w:w="5954" w:type="dxa"/>
          </w:tcPr>
          <w:p w14:paraId="5F000266" w14:textId="77777777" w:rsidR="000E5956" w:rsidRPr="008A7348" w:rsidRDefault="000E5956" w:rsidP="001D7CCC">
            <w:pPr>
              <w:spacing w:after="0"/>
              <w:ind w:left="34"/>
              <w:rPr>
                <w:rFonts w:cs="Arial"/>
                <w:b/>
              </w:rPr>
            </w:pPr>
            <w:r w:rsidRPr="008A7348">
              <w:rPr>
                <w:rFonts w:cs="Arial"/>
                <w:b/>
              </w:rPr>
              <w:t>La relation commerciale</w:t>
            </w:r>
          </w:p>
          <w:p w14:paraId="1E68EDAE" w14:textId="77777777" w:rsidR="000E5956" w:rsidRPr="008A7348" w:rsidRDefault="000E5956" w:rsidP="001D7CCC">
            <w:pPr>
              <w:spacing w:after="0"/>
              <w:ind w:left="34"/>
              <w:rPr>
                <w:rFonts w:cs="Arial"/>
                <w:b/>
                <w:color w:val="00B050"/>
              </w:rPr>
            </w:pPr>
          </w:p>
        </w:tc>
        <w:tc>
          <w:tcPr>
            <w:tcW w:w="8364" w:type="dxa"/>
          </w:tcPr>
          <w:p w14:paraId="3A72F1E5" w14:textId="77777777" w:rsidR="000E5956" w:rsidRPr="008A7348" w:rsidRDefault="000E5956" w:rsidP="007657D6">
            <w:pPr>
              <w:spacing w:after="0"/>
              <w:ind w:left="34"/>
              <w:contextualSpacing/>
              <w:rPr>
                <w:rFonts w:cs="Arial"/>
                <w:b/>
                <w:color w:val="000000"/>
              </w:rPr>
            </w:pPr>
            <w:r w:rsidRPr="008A7348">
              <w:rPr>
                <w:rFonts w:cs="Arial"/>
                <w:b/>
                <w:color w:val="000000"/>
              </w:rPr>
              <w:t>Les enjeux de la relation commerciale</w:t>
            </w:r>
          </w:p>
          <w:p w14:paraId="66B6B52E" w14:textId="77777777" w:rsidR="000E5956" w:rsidRPr="008A7348" w:rsidRDefault="000E5956" w:rsidP="007657D6">
            <w:pPr>
              <w:spacing w:after="0"/>
              <w:contextualSpacing/>
              <w:rPr>
                <w:rFonts w:cs="Arial"/>
              </w:rPr>
            </w:pPr>
            <w:r w:rsidRPr="008A7348">
              <w:rPr>
                <w:rFonts w:cs="Arial"/>
              </w:rPr>
              <w:t xml:space="preserve">La notion de relation commerciale et ses enjeux </w:t>
            </w:r>
          </w:p>
          <w:p w14:paraId="0A51A17F" w14:textId="77777777" w:rsidR="000E5956" w:rsidRPr="008A7348" w:rsidRDefault="000E5956" w:rsidP="007657D6">
            <w:pPr>
              <w:spacing w:after="0"/>
              <w:ind w:left="34"/>
              <w:contextualSpacing/>
              <w:rPr>
                <w:rFonts w:cs="Arial"/>
              </w:rPr>
            </w:pPr>
            <w:r w:rsidRPr="008A7348">
              <w:rPr>
                <w:rFonts w:cs="Arial"/>
              </w:rPr>
              <w:t>Les objectifs de la gestion de la relation client (GRC)</w:t>
            </w:r>
          </w:p>
          <w:p w14:paraId="78AD3B4F" w14:textId="77777777" w:rsidR="000E5956" w:rsidRPr="008A7348" w:rsidRDefault="000E5956" w:rsidP="007657D6">
            <w:pPr>
              <w:spacing w:after="0"/>
              <w:contextualSpacing/>
              <w:rPr>
                <w:rFonts w:cs="Arial"/>
                <w:b/>
                <w:color w:val="000000"/>
              </w:rPr>
            </w:pPr>
            <w:r w:rsidRPr="008A7348">
              <w:rPr>
                <w:rFonts w:cs="Arial"/>
              </w:rPr>
              <w:t>Le cycle de vie de la relation commerciale</w:t>
            </w:r>
            <w:r w:rsidRPr="008A7348">
              <w:rPr>
                <w:rFonts w:cs="Arial"/>
                <w:b/>
                <w:color w:val="000000"/>
              </w:rPr>
              <w:t xml:space="preserve"> </w:t>
            </w:r>
          </w:p>
          <w:p w14:paraId="28C92C0E" w14:textId="77777777" w:rsidR="000E5956" w:rsidRPr="008A7348" w:rsidRDefault="000E5956" w:rsidP="007657D6">
            <w:pPr>
              <w:spacing w:after="0"/>
              <w:contextualSpacing/>
              <w:rPr>
                <w:rFonts w:cs="Arial"/>
              </w:rPr>
            </w:pPr>
            <w:r w:rsidRPr="008A7348">
              <w:rPr>
                <w:rFonts w:cs="Arial"/>
              </w:rPr>
              <w:t>Les enjeux de la relation commerciale dans un cadre omnicanal</w:t>
            </w:r>
          </w:p>
          <w:p w14:paraId="48ABCD5B" w14:textId="77777777" w:rsidR="000E5956" w:rsidRPr="008A7348" w:rsidRDefault="000E5956" w:rsidP="007657D6">
            <w:pPr>
              <w:spacing w:after="0"/>
              <w:contextualSpacing/>
              <w:rPr>
                <w:rFonts w:cs="Arial"/>
              </w:rPr>
            </w:pPr>
          </w:p>
          <w:p w14:paraId="01F205B6" w14:textId="77777777" w:rsidR="000E5956" w:rsidRPr="008A7348" w:rsidRDefault="000E5956" w:rsidP="007657D6">
            <w:pPr>
              <w:spacing w:after="0"/>
              <w:ind w:left="34"/>
              <w:contextualSpacing/>
              <w:rPr>
                <w:rFonts w:cs="Arial"/>
                <w:b/>
                <w:color w:val="000000"/>
              </w:rPr>
            </w:pPr>
            <w:r w:rsidRPr="008A7348">
              <w:rPr>
                <w:rFonts w:cs="Arial"/>
                <w:b/>
                <w:color w:val="000000"/>
              </w:rPr>
              <w:t>La variété des contacts commerciaux</w:t>
            </w:r>
          </w:p>
          <w:p w14:paraId="3CD1CEF0" w14:textId="77777777" w:rsidR="000E5956" w:rsidRPr="008A7348" w:rsidRDefault="000E5956" w:rsidP="007657D6">
            <w:pPr>
              <w:spacing w:after="0"/>
              <w:contextualSpacing/>
              <w:rPr>
                <w:rFonts w:cs="Arial"/>
              </w:rPr>
            </w:pPr>
            <w:r w:rsidRPr="008A7348">
              <w:rPr>
                <w:rFonts w:cs="Arial"/>
              </w:rPr>
              <w:t>La notion de contact commercial et la variété des contacts commerciaux en face à face et numériques (contact entre clients, clients-personnel de contact)</w:t>
            </w:r>
          </w:p>
          <w:p w14:paraId="57FCB364" w14:textId="77777777" w:rsidR="000E5956" w:rsidRDefault="000E5956" w:rsidP="007F7BDC">
            <w:pPr>
              <w:spacing w:after="0"/>
              <w:rPr>
                <w:rFonts w:cs="Arial"/>
                <w:color w:val="000000"/>
              </w:rPr>
            </w:pPr>
            <w:r>
              <w:rPr>
                <w:rFonts w:cs="Arial"/>
                <w:color w:val="000000"/>
              </w:rPr>
              <w:lastRenderedPageBreak/>
              <w:t>L</w:t>
            </w:r>
            <w:r w:rsidRPr="00B95516">
              <w:rPr>
                <w:rFonts w:cs="Arial"/>
                <w:color w:val="000000"/>
              </w:rPr>
              <w:t>es outils numériques (assistant virtuel</w:t>
            </w:r>
            <w:r>
              <w:rPr>
                <w:rFonts w:cs="Arial"/>
                <w:color w:val="000000"/>
              </w:rPr>
              <w:t>- chatbot</w:t>
            </w:r>
            <w:r w:rsidRPr="00B95516">
              <w:rPr>
                <w:rFonts w:cs="Arial"/>
                <w:color w:val="000000"/>
              </w:rPr>
              <w:t>,</w:t>
            </w:r>
            <w:r>
              <w:rPr>
                <w:rFonts w:cs="Arial"/>
                <w:color w:val="000000"/>
              </w:rPr>
              <w:t xml:space="preserve"> bornes interactives, assistant vocal, application,</w:t>
            </w:r>
            <w:r w:rsidR="00E81FA8">
              <w:rPr>
                <w:rFonts w:cs="Arial"/>
                <w:color w:val="000000"/>
              </w:rPr>
              <w:t xml:space="preserve"> </w:t>
            </w:r>
            <w:r>
              <w:rPr>
                <w:rFonts w:cs="Arial"/>
                <w:color w:val="000000"/>
              </w:rPr>
              <w:t>…).</w:t>
            </w:r>
          </w:p>
          <w:p w14:paraId="147AEAE2" w14:textId="77777777" w:rsidR="000E5956" w:rsidRPr="008A7348" w:rsidRDefault="000E5956" w:rsidP="007657D6">
            <w:pPr>
              <w:spacing w:after="0"/>
              <w:contextualSpacing/>
              <w:rPr>
                <w:rFonts w:cs="Arial"/>
              </w:rPr>
            </w:pPr>
          </w:p>
          <w:p w14:paraId="4A9194A0" w14:textId="77777777" w:rsidR="000E5956" w:rsidRPr="008A7348" w:rsidRDefault="000E5956" w:rsidP="007657D6">
            <w:pPr>
              <w:spacing w:after="0"/>
              <w:ind w:left="34"/>
              <w:contextualSpacing/>
              <w:rPr>
                <w:rFonts w:cs="Arial"/>
                <w:b/>
                <w:color w:val="000000"/>
              </w:rPr>
            </w:pPr>
            <w:r w:rsidRPr="008A7348">
              <w:rPr>
                <w:rFonts w:cs="Arial"/>
                <w:b/>
                <w:color w:val="000000"/>
              </w:rPr>
              <w:t>Les composantes de la relation commerciale</w:t>
            </w:r>
          </w:p>
          <w:p w14:paraId="4DFFA4A0" w14:textId="77777777" w:rsidR="000E5956" w:rsidRPr="008A7348" w:rsidRDefault="000E5956" w:rsidP="007657D6">
            <w:pPr>
              <w:spacing w:after="0"/>
              <w:ind w:left="34"/>
              <w:contextualSpacing/>
              <w:rPr>
                <w:rFonts w:cs="Arial"/>
                <w:b/>
                <w:color w:val="000000"/>
              </w:rPr>
            </w:pPr>
          </w:p>
          <w:p w14:paraId="635B7A8B" w14:textId="77777777" w:rsidR="000E5956" w:rsidRPr="008A7348" w:rsidRDefault="000E5956" w:rsidP="007657D6">
            <w:pPr>
              <w:spacing w:after="0"/>
              <w:ind w:left="34"/>
              <w:contextualSpacing/>
              <w:rPr>
                <w:rFonts w:cs="Arial"/>
                <w:b/>
                <w:color w:val="000000"/>
              </w:rPr>
            </w:pPr>
            <w:r w:rsidRPr="008A7348">
              <w:rPr>
                <w:rFonts w:cs="Arial"/>
                <w:b/>
                <w:color w:val="000000"/>
              </w:rPr>
              <w:t>La diversité des relations commerciales</w:t>
            </w:r>
          </w:p>
          <w:p w14:paraId="47792054" w14:textId="77777777" w:rsidR="000E5956" w:rsidRPr="008A7348" w:rsidRDefault="000E5956" w:rsidP="007657D6">
            <w:pPr>
              <w:spacing w:after="0"/>
              <w:contextualSpacing/>
              <w:rPr>
                <w:rFonts w:cs="Arial"/>
              </w:rPr>
            </w:pPr>
            <w:r w:rsidRPr="008A7348">
              <w:rPr>
                <w:rFonts w:cs="Arial"/>
              </w:rPr>
              <w:t>La diversité des relations commerciales : achat, vente, accueil, fidélisation, réclamation, …</w:t>
            </w:r>
          </w:p>
          <w:p w14:paraId="0CDA1DB2" w14:textId="77777777" w:rsidR="000E5956" w:rsidRPr="008A7348" w:rsidRDefault="000E5956" w:rsidP="007657D6">
            <w:pPr>
              <w:spacing w:after="0"/>
              <w:contextualSpacing/>
              <w:rPr>
                <w:rFonts w:cs="Arial"/>
              </w:rPr>
            </w:pPr>
          </w:p>
          <w:p w14:paraId="26B1EDB6" w14:textId="77777777" w:rsidR="000E5956" w:rsidRPr="003E7762" w:rsidRDefault="000E5956" w:rsidP="007657D6">
            <w:pPr>
              <w:spacing w:after="0"/>
              <w:ind w:left="34"/>
              <w:contextualSpacing/>
              <w:rPr>
                <w:rFonts w:cs="Arial"/>
                <w:b/>
              </w:rPr>
            </w:pPr>
            <w:r w:rsidRPr="003E7762">
              <w:rPr>
                <w:rFonts w:cs="Arial"/>
                <w:b/>
              </w:rPr>
              <w:t xml:space="preserve">Les méthodes de vente </w:t>
            </w:r>
            <w:r w:rsidRPr="003E7762">
              <w:rPr>
                <w:rFonts w:cs="Arial"/>
                <w:b/>
                <w:color w:val="D43ABE"/>
              </w:rPr>
              <w:t>et leur réglementation</w:t>
            </w:r>
          </w:p>
          <w:p w14:paraId="12F933DD" w14:textId="77777777" w:rsidR="000E5956" w:rsidRPr="008A7348" w:rsidRDefault="000E5956" w:rsidP="007657D6">
            <w:pPr>
              <w:spacing w:after="0"/>
              <w:ind w:left="34"/>
              <w:contextualSpacing/>
              <w:rPr>
                <w:rFonts w:cs="Arial"/>
                <w:b/>
                <w:color w:val="000000"/>
              </w:rPr>
            </w:pPr>
          </w:p>
          <w:p w14:paraId="7D476977" w14:textId="1F0050C8" w:rsidR="000E5956" w:rsidRPr="00FB2053" w:rsidRDefault="000E5956" w:rsidP="007657D6">
            <w:pPr>
              <w:spacing w:after="0"/>
              <w:ind w:left="34"/>
              <w:contextualSpacing/>
              <w:rPr>
                <w:rFonts w:cs="Arial"/>
                <w:b/>
                <w:color w:val="0070C0"/>
              </w:rPr>
            </w:pPr>
            <w:r w:rsidRPr="00FB2053">
              <w:rPr>
                <w:rFonts w:cs="Arial"/>
                <w:b/>
                <w:color w:val="0070C0"/>
              </w:rPr>
              <w:t>L’omnicanal</w:t>
            </w:r>
          </w:p>
          <w:p w14:paraId="37A605AC" w14:textId="6A27CBDD" w:rsidR="000E5956" w:rsidRPr="00FB2053" w:rsidRDefault="000E5956" w:rsidP="00FB2053">
            <w:pPr>
              <w:spacing w:after="0"/>
              <w:contextualSpacing/>
              <w:rPr>
                <w:rFonts w:cs="Arial"/>
                <w:b/>
                <w:color w:val="D43ABE"/>
              </w:rPr>
            </w:pPr>
            <w:r w:rsidRPr="008A7348">
              <w:rPr>
                <w:rFonts w:cs="Arial"/>
                <w:b/>
                <w:color w:val="000000"/>
              </w:rPr>
              <w:t>La digitalisation de la relation commerciale</w:t>
            </w:r>
            <w:r w:rsidR="00FB2053">
              <w:rPr>
                <w:rFonts w:cs="Arial"/>
                <w:b/>
                <w:color w:val="000000"/>
              </w:rPr>
              <w:t xml:space="preserve"> </w:t>
            </w:r>
            <w:r w:rsidR="00FB2053" w:rsidRPr="00B7376C">
              <w:rPr>
                <w:rFonts w:cs="Arial"/>
                <w:b/>
                <w:color w:val="D43ABE"/>
              </w:rPr>
              <w:t>(</w:t>
            </w:r>
            <w:r w:rsidR="00FB2053" w:rsidRPr="00FB2053">
              <w:rPr>
                <w:rFonts w:cs="Arial"/>
                <w:b/>
                <w:color w:val="D43ABE"/>
              </w:rPr>
              <w:t>à</w:t>
            </w:r>
            <w:r w:rsidR="00FB2053">
              <w:rPr>
                <w:rFonts w:cs="Arial"/>
                <w:b/>
                <w:color w:val="D43ABE"/>
              </w:rPr>
              <w:t xml:space="preserve"> mettre en relation avec les méthodes de vente et la gestion de la relation client</w:t>
            </w:r>
            <w:r w:rsidR="00B7376C">
              <w:rPr>
                <w:rFonts w:cs="Arial"/>
                <w:b/>
                <w:color w:val="D43ABE"/>
              </w:rPr>
              <w:t>)</w:t>
            </w:r>
          </w:p>
          <w:p w14:paraId="773472AB" w14:textId="77777777" w:rsidR="000E5956" w:rsidRPr="008A7348" w:rsidRDefault="000E5956" w:rsidP="007657D6">
            <w:pPr>
              <w:spacing w:after="0"/>
              <w:ind w:left="34"/>
              <w:contextualSpacing/>
              <w:rPr>
                <w:rFonts w:cs="Arial"/>
                <w:b/>
                <w:color w:val="000000"/>
              </w:rPr>
            </w:pPr>
          </w:p>
          <w:p w14:paraId="32200C7F" w14:textId="77777777" w:rsidR="000E5956" w:rsidRPr="008A7348" w:rsidRDefault="000E5956" w:rsidP="001D7CCC">
            <w:pPr>
              <w:spacing w:after="0"/>
              <w:contextualSpacing/>
              <w:rPr>
                <w:rFonts w:cs="Arial"/>
                <w:b/>
              </w:rPr>
            </w:pPr>
            <w:r w:rsidRPr="008A7348">
              <w:rPr>
                <w:rFonts w:cs="Arial"/>
                <w:b/>
                <w:color w:val="000000"/>
              </w:rPr>
              <w:t>La gestion de la relation client (GRC)</w:t>
            </w:r>
          </w:p>
        </w:tc>
      </w:tr>
      <w:tr w:rsidR="000E5956" w:rsidRPr="008A7348" w14:paraId="31F00BAE" w14:textId="77777777" w:rsidTr="000E5956">
        <w:trPr>
          <w:trHeight w:val="563"/>
        </w:trPr>
        <w:tc>
          <w:tcPr>
            <w:tcW w:w="5954" w:type="dxa"/>
          </w:tcPr>
          <w:p w14:paraId="2982EDDF" w14:textId="77777777" w:rsidR="000E5956" w:rsidRPr="008A7348" w:rsidRDefault="000E5956" w:rsidP="001D7CCC">
            <w:pPr>
              <w:spacing w:after="0"/>
              <w:ind w:left="34"/>
              <w:rPr>
                <w:rFonts w:cs="Arial"/>
                <w:b/>
              </w:rPr>
            </w:pPr>
            <w:r w:rsidRPr="008A7348">
              <w:rPr>
                <w:rFonts w:cs="Arial"/>
                <w:b/>
              </w:rPr>
              <w:lastRenderedPageBreak/>
              <w:t>L’information commerciale</w:t>
            </w:r>
          </w:p>
          <w:p w14:paraId="1EEC5D1B" w14:textId="77777777" w:rsidR="000E5956" w:rsidRPr="008A7348" w:rsidRDefault="000E5956" w:rsidP="001D7CCC">
            <w:pPr>
              <w:spacing w:after="0"/>
              <w:ind w:left="34"/>
              <w:rPr>
                <w:rFonts w:cs="Arial"/>
                <w:color w:val="00B050"/>
              </w:rPr>
            </w:pPr>
          </w:p>
        </w:tc>
        <w:tc>
          <w:tcPr>
            <w:tcW w:w="8364" w:type="dxa"/>
          </w:tcPr>
          <w:p w14:paraId="6CBC8728" w14:textId="77777777" w:rsidR="000E5956" w:rsidRPr="008A7348" w:rsidRDefault="000E5956" w:rsidP="007657D6">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La typologie des informations</w:t>
            </w:r>
          </w:p>
          <w:p w14:paraId="179A0C22" w14:textId="77777777" w:rsidR="000E5956" w:rsidRPr="008A7348" w:rsidRDefault="000E5956" w:rsidP="007657D6">
            <w:pPr>
              <w:pStyle w:val="Paragraphedeliste"/>
              <w:spacing w:line="276" w:lineRule="auto"/>
              <w:ind w:left="0"/>
              <w:rPr>
                <w:rFonts w:ascii="Calibri" w:hAnsi="Calibri" w:cs="Arial"/>
                <w:sz w:val="22"/>
                <w:szCs w:val="22"/>
              </w:rPr>
            </w:pPr>
            <w:r w:rsidRPr="008A7348">
              <w:rPr>
                <w:rFonts w:ascii="Calibri" w:hAnsi="Calibri" w:cs="Arial"/>
                <w:sz w:val="22"/>
                <w:szCs w:val="22"/>
              </w:rPr>
              <w:t>L’information commerciale, les enjeux et la typologie des informations (primaires/secondaires)</w:t>
            </w:r>
          </w:p>
          <w:p w14:paraId="0BD03EE9" w14:textId="77777777" w:rsidR="000E5956" w:rsidRPr="008A7348" w:rsidRDefault="000E5956" w:rsidP="007657D6">
            <w:pPr>
              <w:pStyle w:val="Paragraphedeliste"/>
              <w:spacing w:line="276" w:lineRule="auto"/>
              <w:ind w:left="0"/>
              <w:rPr>
                <w:rFonts w:ascii="Calibri" w:hAnsi="Calibri" w:cs="Arial"/>
                <w:sz w:val="22"/>
                <w:szCs w:val="22"/>
              </w:rPr>
            </w:pPr>
          </w:p>
          <w:p w14:paraId="4F0A19DB" w14:textId="77777777" w:rsidR="000E5956" w:rsidRPr="008A7348" w:rsidRDefault="000E5956" w:rsidP="007657D6">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sources d’information</w:t>
            </w:r>
          </w:p>
          <w:p w14:paraId="518EBCA7" w14:textId="77777777" w:rsidR="000E5956" w:rsidRPr="008A7348" w:rsidRDefault="000E5956" w:rsidP="007657D6">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Les sources d’information sur le marché et leur pertinence</w:t>
            </w:r>
          </w:p>
          <w:p w14:paraId="6BE82131" w14:textId="77777777" w:rsidR="000E5956" w:rsidRPr="0029103C" w:rsidRDefault="000E5956" w:rsidP="007657D6">
            <w:pPr>
              <w:pStyle w:val="Paragraphedeliste"/>
              <w:numPr>
                <w:ilvl w:val="0"/>
                <w:numId w:val="3"/>
              </w:numPr>
              <w:spacing w:line="276" w:lineRule="auto"/>
              <w:ind w:left="0"/>
              <w:rPr>
                <w:rFonts w:ascii="Calibri" w:hAnsi="Calibri" w:cs="Arial"/>
                <w:sz w:val="22"/>
                <w:szCs w:val="22"/>
              </w:rPr>
            </w:pPr>
            <w:r w:rsidRPr="0029103C">
              <w:rPr>
                <w:rFonts w:ascii="Calibri" w:hAnsi="Calibri" w:cs="Arial"/>
                <w:sz w:val="22"/>
                <w:szCs w:val="22"/>
              </w:rPr>
              <w:t>La démarche de mise en place d‘une recherche automatisée d’informations (</w:t>
            </w:r>
            <w:r w:rsidR="007C6DF7">
              <w:rPr>
                <w:rFonts w:ascii="Calibri" w:hAnsi="Calibri" w:cs="Arial"/>
                <w:sz w:val="22"/>
                <w:szCs w:val="22"/>
              </w:rPr>
              <w:t xml:space="preserve">moteurs de recherche, </w:t>
            </w:r>
            <w:r w:rsidRPr="0029103C">
              <w:rPr>
                <w:rFonts w:ascii="Calibri" w:hAnsi="Calibri" w:cs="Arial"/>
                <w:sz w:val="22"/>
                <w:szCs w:val="22"/>
              </w:rPr>
              <w:t>alertes, notifications, abonnements à des flux…)</w:t>
            </w:r>
          </w:p>
          <w:p w14:paraId="434E3C6D" w14:textId="77777777" w:rsidR="000E5956" w:rsidRPr="008A7348" w:rsidRDefault="000E5956" w:rsidP="007657D6">
            <w:pPr>
              <w:pStyle w:val="Paragraphedeliste"/>
              <w:numPr>
                <w:ilvl w:val="0"/>
                <w:numId w:val="3"/>
              </w:numPr>
              <w:spacing w:line="276" w:lineRule="auto"/>
              <w:ind w:left="0"/>
              <w:rPr>
                <w:rFonts w:ascii="Calibri" w:hAnsi="Calibri" w:cs="Arial"/>
                <w:sz w:val="22"/>
                <w:szCs w:val="22"/>
              </w:rPr>
            </w:pPr>
          </w:p>
          <w:p w14:paraId="2B710388" w14:textId="77777777" w:rsidR="000E5956" w:rsidRPr="008A7348" w:rsidRDefault="000E5956" w:rsidP="007657D6">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étapes de la recherche d’information</w:t>
            </w:r>
          </w:p>
          <w:p w14:paraId="29A13B65" w14:textId="77777777" w:rsidR="000E5956" w:rsidRPr="008A7348" w:rsidRDefault="000E5956" w:rsidP="007657D6">
            <w:pPr>
              <w:pStyle w:val="Paragraphedeliste"/>
              <w:spacing w:line="276" w:lineRule="auto"/>
              <w:ind w:left="34"/>
              <w:rPr>
                <w:rFonts w:ascii="Calibri" w:hAnsi="Calibri" w:cs="Arial"/>
                <w:b/>
                <w:color w:val="000000"/>
                <w:sz w:val="22"/>
                <w:szCs w:val="22"/>
              </w:rPr>
            </w:pPr>
          </w:p>
          <w:p w14:paraId="29705401" w14:textId="77777777" w:rsidR="000E5956" w:rsidRPr="008A7348" w:rsidRDefault="000E5956" w:rsidP="007657D6">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méthodes de recueil, de stockage, de traitement, d’exploitation et de diffusion de l’information commerciale</w:t>
            </w:r>
          </w:p>
          <w:p w14:paraId="55537AAF" w14:textId="77777777" w:rsidR="000E5956" w:rsidRPr="007C6DF7" w:rsidRDefault="007C6DF7" w:rsidP="007657D6">
            <w:pPr>
              <w:pStyle w:val="Paragraphedeliste"/>
              <w:spacing w:line="276" w:lineRule="auto"/>
              <w:ind w:left="34"/>
              <w:rPr>
                <w:rFonts w:ascii="Calibri" w:hAnsi="Calibri" w:cs="Arial"/>
                <w:color w:val="000000"/>
                <w:sz w:val="22"/>
                <w:szCs w:val="22"/>
              </w:rPr>
            </w:pPr>
            <w:r w:rsidRPr="007C6DF7">
              <w:rPr>
                <w:rFonts w:ascii="Calibri" w:hAnsi="Calibri" w:cs="Arial"/>
                <w:color w:val="000000"/>
                <w:sz w:val="22"/>
                <w:szCs w:val="22"/>
              </w:rPr>
              <w:t xml:space="preserve">L’utilisation de bases de données </w:t>
            </w:r>
          </w:p>
          <w:p w14:paraId="7E9680FC" w14:textId="77777777" w:rsidR="007C6DF7" w:rsidRPr="007C6DF7" w:rsidRDefault="007C6DF7" w:rsidP="007657D6">
            <w:pPr>
              <w:pStyle w:val="Paragraphedeliste"/>
              <w:spacing w:line="276" w:lineRule="auto"/>
              <w:ind w:left="34"/>
              <w:rPr>
                <w:rFonts w:ascii="Calibri" w:hAnsi="Calibri" w:cs="Arial"/>
                <w:color w:val="000000"/>
                <w:sz w:val="22"/>
                <w:szCs w:val="22"/>
              </w:rPr>
            </w:pPr>
            <w:r w:rsidRPr="007C6DF7">
              <w:rPr>
                <w:rFonts w:ascii="Calibri" w:hAnsi="Calibri" w:cs="Arial"/>
                <w:color w:val="000000"/>
                <w:sz w:val="22"/>
                <w:szCs w:val="22"/>
              </w:rPr>
              <w:t>Le forage de données</w:t>
            </w:r>
          </w:p>
          <w:p w14:paraId="6EDF3596" w14:textId="77777777" w:rsidR="007C6DF7" w:rsidRPr="008A7348" w:rsidRDefault="007C6DF7" w:rsidP="007657D6">
            <w:pPr>
              <w:pStyle w:val="Paragraphedeliste"/>
              <w:spacing w:line="276" w:lineRule="auto"/>
              <w:ind w:left="34"/>
              <w:rPr>
                <w:rFonts w:ascii="Calibri" w:hAnsi="Calibri" w:cs="Arial"/>
                <w:b/>
                <w:color w:val="000000"/>
                <w:sz w:val="22"/>
                <w:szCs w:val="22"/>
              </w:rPr>
            </w:pPr>
          </w:p>
          <w:p w14:paraId="0417A705" w14:textId="77777777" w:rsidR="000E5956" w:rsidRPr="00D062DD" w:rsidRDefault="000E5956" w:rsidP="00712056">
            <w:pPr>
              <w:pStyle w:val="Paragraphedeliste"/>
              <w:spacing w:line="276" w:lineRule="auto"/>
              <w:ind w:left="0"/>
              <w:rPr>
                <w:rFonts w:ascii="Calibri" w:hAnsi="Calibri" w:cs="Arial"/>
                <w:b/>
                <w:color w:val="D43ABE"/>
              </w:rPr>
            </w:pPr>
            <w:bookmarkStart w:id="0" w:name="_Hlk535354733"/>
            <w:r w:rsidRPr="00D062DD">
              <w:rPr>
                <w:rFonts w:ascii="Calibri" w:hAnsi="Calibri" w:cs="Arial"/>
                <w:b/>
                <w:color w:val="D43ABE"/>
              </w:rPr>
              <w:t>La règlementation liée à la recherche, au stockage, au traitement et à la diffusion de l’information commerciale</w:t>
            </w:r>
          </w:p>
          <w:bookmarkEnd w:id="0"/>
          <w:p w14:paraId="1A6F111B" w14:textId="77777777" w:rsidR="007C6DF7" w:rsidRPr="007C6DF7" w:rsidRDefault="007C6DF7" w:rsidP="007C6DF7">
            <w:pPr>
              <w:pStyle w:val="Paragraphedeliste"/>
              <w:spacing w:line="276" w:lineRule="auto"/>
              <w:ind w:left="0"/>
              <w:rPr>
                <w:rFonts w:ascii="Calibri" w:hAnsi="Calibri" w:cs="Arial"/>
                <w:color w:val="000000"/>
                <w:sz w:val="22"/>
                <w:szCs w:val="22"/>
              </w:rPr>
            </w:pPr>
            <w:r>
              <w:rPr>
                <w:rFonts w:ascii="Calibri" w:hAnsi="Calibri" w:cs="Arial"/>
                <w:color w:val="000000"/>
                <w:sz w:val="22"/>
                <w:szCs w:val="22"/>
              </w:rPr>
              <w:t>Les organisations de protection d</w:t>
            </w:r>
            <w:r w:rsidRPr="007C6DF7">
              <w:rPr>
                <w:rFonts w:ascii="Calibri" w:hAnsi="Calibri" w:cs="Arial"/>
                <w:color w:val="000000"/>
                <w:sz w:val="22"/>
                <w:szCs w:val="22"/>
              </w:rPr>
              <w:t>es données personnelles</w:t>
            </w:r>
            <w:r>
              <w:rPr>
                <w:rFonts w:ascii="Calibri" w:hAnsi="Calibri" w:cs="Arial"/>
                <w:color w:val="000000"/>
                <w:sz w:val="22"/>
                <w:szCs w:val="22"/>
              </w:rPr>
              <w:t xml:space="preserve"> et de préservation d</w:t>
            </w:r>
            <w:r w:rsidRPr="007C6DF7">
              <w:rPr>
                <w:rFonts w:ascii="Calibri" w:hAnsi="Calibri" w:cs="Arial"/>
                <w:color w:val="000000"/>
                <w:sz w:val="22"/>
                <w:szCs w:val="22"/>
              </w:rPr>
              <w:t>es libertés individuelles</w:t>
            </w:r>
            <w:r>
              <w:rPr>
                <w:rFonts w:ascii="Calibri" w:hAnsi="Calibri" w:cs="Arial"/>
                <w:color w:val="000000"/>
                <w:sz w:val="22"/>
                <w:szCs w:val="22"/>
              </w:rPr>
              <w:t xml:space="preserve"> </w:t>
            </w:r>
            <w:r w:rsidRPr="00B7376C">
              <w:rPr>
                <w:rFonts w:ascii="Calibri" w:hAnsi="Calibri" w:cs="Arial"/>
                <w:b/>
                <w:color w:val="D43ABE"/>
                <w:sz w:val="22"/>
                <w:szCs w:val="22"/>
              </w:rPr>
              <w:t>(</w:t>
            </w:r>
            <w:r w:rsidRPr="00666BB5">
              <w:rPr>
                <w:rFonts w:ascii="Calibri" w:hAnsi="Calibri" w:cs="Arial"/>
                <w:b/>
                <w:color w:val="D43ABE"/>
                <w:sz w:val="22"/>
                <w:szCs w:val="22"/>
              </w:rPr>
              <w:t>CNIL</w:t>
            </w:r>
            <w:r w:rsidR="00666BB5" w:rsidRPr="00666BB5">
              <w:rPr>
                <w:rFonts w:ascii="Calibri" w:hAnsi="Calibri" w:cs="Arial"/>
                <w:b/>
                <w:color w:val="D43ABE"/>
                <w:sz w:val="22"/>
                <w:szCs w:val="22"/>
              </w:rPr>
              <w:t>, RGPD</w:t>
            </w:r>
            <w:r w:rsidR="00891208" w:rsidRPr="00666BB5">
              <w:rPr>
                <w:rFonts w:ascii="Calibri" w:hAnsi="Calibri" w:cs="Arial"/>
                <w:b/>
                <w:color w:val="D43ABE"/>
                <w:sz w:val="22"/>
                <w:szCs w:val="22"/>
              </w:rPr>
              <w:t>…</w:t>
            </w:r>
            <w:r w:rsidRPr="00666BB5">
              <w:rPr>
                <w:rFonts w:ascii="Calibri" w:hAnsi="Calibri" w:cs="Arial"/>
                <w:b/>
                <w:color w:val="D43ABE"/>
                <w:sz w:val="22"/>
                <w:szCs w:val="22"/>
              </w:rPr>
              <w:t>)</w:t>
            </w:r>
          </w:p>
        </w:tc>
      </w:tr>
      <w:tr w:rsidR="000E5956" w:rsidRPr="008A7348" w14:paraId="5A2269FA" w14:textId="77777777" w:rsidTr="000E5956">
        <w:trPr>
          <w:trHeight w:val="1684"/>
        </w:trPr>
        <w:tc>
          <w:tcPr>
            <w:tcW w:w="5954" w:type="dxa"/>
          </w:tcPr>
          <w:p w14:paraId="60FCE801" w14:textId="77777777" w:rsidR="000E5956" w:rsidRPr="008A7348" w:rsidRDefault="000E5956" w:rsidP="001D7CCC">
            <w:pPr>
              <w:spacing w:after="0"/>
              <w:ind w:left="34"/>
              <w:rPr>
                <w:rFonts w:cs="Arial"/>
                <w:b/>
              </w:rPr>
            </w:pPr>
            <w:r w:rsidRPr="008A7348">
              <w:rPr>
                <w:rFonts w:cs="Arial"/>
                <w:b/>
              </w:rPr>
              <w:lastRenderedPageBreak/>
              <w:t>Le système d’information commercial</w:t>
            </w:r>
          </w:p>
          <w:p w14:paraId="615D4760" w14:textId="77777777" w:rsidR="000E5956" w:rsidRPr="008A7348" w:rsidRDefault="000E5956" w:rsidP="00596922">
            <w:pPr>
              <w:spacing w:after="0"/>
              <w:ind w:left="34"/>
              <w:rPr>
                <w:rFonts w:cs="Arial"/>
                <w:color w:val="00B050"/>
              </w:rPr>
            </w:pPr>
          </w:p>
        </w:tc>
        <w:tc>
          <w:tcPr>
            <w:tcW w:w="8364" w:type="dxa"/>
          </w:tcPr>
          <w:p w14:paraId="528825FC" w14:textId="77777777" w:rsidR="000E5956" w:rsidRPr="008A7348" w:rsidRDefault="000E5956" w:rsidP="007657D6">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caractéristiques du système d’information commercial (SIC)</w:t>
            </w:r>
          </w:p>
          <w:p w14:paraId="4C2614E7" w14:textId="77777777" w:rsidR="000E5956" w:rsidRPr="008A7348" w:rsidRDefault="000E5956" w:rsidP="007657D6">
            <w:pPr>
              <w:pStyle w:val="Paragraphedeliste"/>
              <w:numPr>
                <w:ilvl w:val="0"/>
                <w:numId w:val="3"/>
              </w:numPr>
              <w:spacing w:line="276" w:lineRule="auto"/>
              <w:ind w:left="0"/>
              <w:rPr>
                <w:rFonts w:ascii="Calibri" w:hAnsi="Calibri" w:cs="Arial"/>
                <w:color w:val="000000"/>
                <w:sz w:val="22"/>
                <w:szCs w:val="22"/>
              </w:rPr>
            </w:pPr>
            <w:r w:rsidRPr="008A7348">
              <w:rPr>
                <w:rFonts w:ascii="Calibri" w:hAnsi="Calibri" w:cs="Arial"/>
                <w:color w:val="000000"/>
                <w:sz w:val="22"/>
                <w:szCs w:val="22"/>
              </w:rPr>
              <w:t>Les caractéristiques et les étapes de l’enrichissement du SIC (collecte, stockage, traitement et diffusion)</w:t>
            </w:r>
          </w:p>
          <w:p w14:paraId="6BFCD262" w14:textId="77777777" w:rsidR="000E5956" w:rsidRPr="008A7348" w:rsidRDefault="000E5956" w:rsidP="007657D6">
            <w:pPr>
              <w:pStyle w:val="Paragraphedeliste"/>
              <w:numPr>
                <w:ilvl w:val="0"/>
                <w:numId w:val="3"/>
              </w:numPr>
              <w:spacing w:line="276" w:lineRule="auto"/>
              <w:ind w:left="0"/>
              <w:rPr>
                <w:rFonts w:ascii="Calibri" w:hAnsi="Calibri" w:cs="Arial"/>
                <w:color w:val="000000"/>
                <w:sz w:val="22"/>
                <w:szCs w:val="22"/>
              </w:rPr>
            </w:pPr>
            <w:r w:rsidRPr="008A7348">
              <w:rPr>
                <w:rFonts w:ascii="Calibri" w:hAnsi="Calibri" w:cs="Arial"/>
                <w:color w:val="000000"/>
                <w:sz w:val="22"/>
                <w:szCs w:val="22"/>
              </w:rPr>
              <w:t>Le rôle du SIC dans l’entreprise et ses enjeux</w:t>
            </w:r>
          </w:p>
          <w:p w14:paraId="5D1FEC17" w14:textId="77777777" w:rsidR="000E5956" w:rsidRDefault="000E5956" w:rsidP="007657D6">
            <w:pPr>
              <w:pStyle w:val="Paragraphedeliste"/>
              <w:numPr>
                <w:ilvl w:val="0"/>
                <w:numId w:val="3"/>
              </w:numPr>
              <w:spacing w:line="276" w:lineRule="auto"/>
              <w:ind w:left="0"/>
              <w:rPr>
                <w:rFonts w:ascii="Calibri" w:hAnsi="Calibri" w:cs="Arial"/>
                <w:color w:val="000000"/>
                <w:sz w:val="22"/>
                <w:szCs w:val="22"/>
              </w:rPr>
            </w:pPr>
            <w:r>
              <w:rPr>
                <w:rFonts w:ascii="Calibri" w:hAnsi="Calibri" w:cs="Arial"/>
                <w:color w:val="000000"/>
                <w:sz w:val="22"/>
                <w:szCs w:val="22"/>
              </w:rPr>
              <w:t>L</w:t>
            </w:r>
            <w:r w:rsidRPr="00F638D0">
              <w:rPr>
                <w:rFonts w:ascii="Calibri" w:hAnsi="Calibri" w:cs="Arial"/>
                <w:color w:val="000000"/>
                <w:sz w:val="22"/>
                <w:szCs w:val="22"/>
              </w:rPr>
              <w:t>’importance de l’utilisation du SIC dans les activités du manager.</w:t>
            </w:r>
          </w:p>
          <w:p w14:paraId="2CB11D2D" w14:textId="77777777" w:rsidR="000E5956" w:rsidRPr="008A7348" w:rsidRDefault="000E5956" w:rsidP="007657D6">
            <w:pPr>
              <w:pStyle w:val="Paragraphedeliste"/>
              <w:numPr>
                <w:ilvl w:val="0"/>
                <w:numId w:val="3"/>
              </w:numPr>
              <w:spacing w:line="276" w:lineRule="auto"/>
              <w:ind w:left="0"/>
              <w:rPr>
                <w:rFonts w:ascii="Calibri" w:hAnsi="Calibri" w:cs="Arial"/>
                <w:color w:val="000000"/>
                <w:sz w:val="22"/>
                <w:szCs w:val="22"/>
              </w:rPr>
            </w:pPr>
          </w:p>
          <w:p w14:paraId="21B913A0" w14:textId="77777777" w:rsidR="000E5956" w:rsidRPr="008A7348" w:rsidRDefault="000E5956" w:rsidP="007657D6">
            <w:pPr>
              <w:pStyle w:val="Paragraphedeliste"/>
              <w:spacing w:line="276" w:lineRule="auto"/>
              <w:ind w:left="34"/>
              <w:rPr>
                <w:rFonts w:ascii="Calibri" w:hAnsi="Calibri" w:cs="Arial"/>
                <w:color w:val="CC0099"/>
                <w:sz w:val="22"/>
                <w:szCs w:val="22"/>
              </w:rPr>
            </w:pPr>
            <w:r w:rsidRPr="008A7348">
              <w:rPr>
                <w:rFonts w:ascii="Calibri" w:hAnsi="Calibri" w:cs="Arial"/>
                <w:b/>
                <w:color w:val="CC0099"/>
                <w:sz w:val="22"/>
                <w:szCs w:val="22"/>
              </w:rPr>
              <w:t>Les accès au système d’information, les droits et obligations attachés</w:t>
            </w:r>
          </w:p>
          <w:p w14:paraId="5432B784" w14:textId="77777777" w:rsidR="000E5956" w:rsidRPr="008A7348" w:rsidRDefault="000E5956" w:rsidP="007657D6">
            <w:pPr>
              <w:pStyle w:val="Paragraphedeliste"/>
              <w:spacing w:line="276" w:lineRule="auto"/>
              <w:ind w:left="34"/>
              <w:rPr>
                <w:rFonts w:ascii="Calibri" w:hAnsi="Calibri" w:cs="Arial"/>
                <w:b/>
                <w:color w:val="000000"/>
                <w:sz w:val="22"/>
                <w:szCs w:val="22"/>
              </w:rPr>
            </w:pPr>
          </w:p>
          <w:p w14:paraId="38B72D5A" w14:textId="77777777" w:rsidR="000E5956" w:rsidRPr="008A7348" w:rsidRDefault="000E5956" w:rsidP="007657D6">
            <w:pPr>
              <w:pStyle w:val="Paragraphedeliste"/>
              <w:numPr>
                <w:ilvl w:val="0"/>
                <w:numId w:val="3"/>
              </w:numPr>
              <w:spacing w:line="276" w:lineRule="auto"/>
              <w:ind w:left="0"/>
              <w:rPr>
                <w:rFonts w:ascii="Calibri" w:hAnsi="Calibri" w:cs="Arial"/>
                <w:b/>
                <w:color w:val="000000"/>
                <w:sz w:val="22"/>
                <w:szCs w:val="22"/>
              </w:rPr>
            </w:pPr>
            <w:r w:rsidRPr="008A7348">
              <w:rPr>
                <w:rFonts w:ascii="Calibri" w:hAnsi="Calibri" w:cs="Arial"/>
                <w:b/>
                <w:color w:val="000000"/>
                <w:sz w:val="22"/>
                <w:szCs w:val="22"/>
              </w:rPr>
              <w:t xml:space="preserve">Les outils numériques </w:t>
            </w:r>
          </w:p>
          <w:p w14:paraId="6653ACD6" w14:textId="77777777" w:rsidR="000E5956" w:rsidRDefault="000E5956" w:rsidP="00F638D0">
            <w:pPr>
              <w:pStyle w:val="Paragraphedeliste"/>
              <w:spacing w:line="276" w:lineRule="auto"/>
              <w:ind w:left="0"/>
              <w:rPr>
                <w:rFonts w:ascii="Calibri" w:hAnsi="Calibri" w:cs="Arial"/>
                <w:color w:val="000000"/>
                <w:sz w:val="22"/>
                <w:szCs w:val="22"/>
              </w:rPr>
            </w:pPr>
            <w:r>
              <w:rPr>
                <w:rFonts w:ascii="Calibri" w:hAnsi="Calibri" w:cs="Arial"/>
                <w:color w:val="000000"/>
                <w:sz w:val="22"/>
                <w:szCs w:val="22"/>
              </w:rPr>
              <w:t>L</w:t>
            </w:r>
            <w:r w:rsidRPr="00F638D0">
              <w:rPr>
                <w:rFonts w:ascii="Calibri" w:hAnsi="Calibri" w:cs="Arial"/>
                <w:color w:val="000000"/>
                <w:sz w:val="22"/>
                <w:szCs w:val="22"/>
              </w:rPr>
              <w:t>es outils de stockage et les moyens d’accès de l’information commerciale.</w:t>
            </w:r>
          </w:p>
          <w:p w14:paraId="331A7119" w14:textId="77777777" w:rsidR="000E5956" w:rsidRPr="00F638D0" w:rsidRDefault="000E5956" w:rsidP="00F638D0">
            <w:pPr>
              <w:pStyle w:val="Paragraphedeliste"/>
              <w:spacing w:line="276" w:lineRule="auto"/>
              <w:ind w:left="0"/>
              <w:rPr>
                <w:rFonts w:ascii="Calibri" w:hAnsi="Calibri" w:cs="Arial"/>
                <w:color w:val="000000"/>
                <w:sz w:val="22"/>
                <w:szCs w:val="22"/>
              </w:rPr>
            </w:pPr>
            <w:r w:rsidRPr="00F638D0">
              <w:rPr>
                <w:rFonts w:ascii="Calibri" w:hAnsi="Calibri" w:cs="Arial"/>
                <w:color w:val="000000"/>
                <w:sz w:val="22"/>
                <w:szCs w:val="22"/>
              </w:rPr>
              <w:t>Les fonctionnalités des outils numériques au service de la veille commerciale</w:t>
            </w:r>
          </w:p>
          <w:p w14:paraId="1871A061" w14:textId="77777777" w:rsidR="000E5956" w:rsidRPr="008A7348" w:rsidRDefault="000E5956" w:rsidP="007657D6">
            <w:pPr>
              <w:pStyle w:val="Paragraphedeliste"/>
              <w:spacing w:line="276" w:lineRule="auto"/>
              <w:ind w:left="0"/>
              <w:rPr>
                <w:rFonts w:ascii="Calibri" w:hAnsi="Calibri" w:cs="Arial"/>
                <w:sz w:val="22"/>
                <w:szCs w:val="22"/>
              </w:rPr>
            </w:pPr>
          </w:p>
        </w:tc>
      </w:tr>
      <w:tr w:rsidR="000E5956" w:rsidRPr="008A7348" w14:paraId="0E9D78A3" w14:textId="77777777" w:rsidTr="00370D79">
        <w:trPr>
          <w:trHeight w:val="565"/>
        </w:trPr>
        <w:tc>
          <w:tcPr>
            <w:tcW w:w="5954" w:type="dxa"/>
          </w:tcPr>
          <w:p w14:paraId="75487342" w14:textId="77777777" w:rsidR="000E5956" w:rsidRPr="008A7348" w:rsidRDefault="000E5956" w:rsidP="001D7CCC">
            <w:pPr>
              <w:spacing w:after="0"/>
              <w:ind w:left="34"/>
              <w:rPr>
                <w:rFonts w:cs="Arial"/>
                <w:b/>
              </w:rPr>
            </w:pPr>
            <w:r w:rsidRPr="008A7348">
              <w:rPr>
                <w:rFonts w:cs="Arial"/>
                <w:b/>
              </w:rPr>
              <w:t>Les études commerciales</w:t>
            </w:r>
          </w:p>
          <w:p w14:paraId="777AAA34" w14:textId="77777777" w:rsidR="000E5956" w:rsidRPr="008A7348" w:rsidRDefault="000E5956" w:rsidP="001D7CCC">
            <w:pPr>
              <w:spacing w:after="0"/>
              <w:ind w:left="34"/>
              <w:rPr>
                <w:rFonts w:cs="Arial"/>
                <w:color w:val="00B050"/>
              </w:rPr>
            </w:pPr>
          </w:p>
        </w:tc>
        <w:tc>
          <w:tcPr>
            <w:tcW w:w="8364" w:type="dxa"/>
          </w:tcPr>
          <w:p w14:paraId="37E07737" w14:textId="77777777" w:rsidR="000E5956" w:rsidRPr="008A7348" w:rsidRDefault="000E5956" w:rsidP="007657D6">
            <w:pPr>
              <w:spacing w:after="0"/>
              <w:ind w:left="34"/>
              <w:rPr>
                <w:rFonts w:cs="Arial"/>
                <w:b/>
                <w:color w:val="000000"/>
              </w:rPr>
            </w:pPr>
            <w:r w:rsidRPr="008A7348">
              <w:rPr>
                <w:rFonts w:cs="Arial"/>
                <w:b/>
                <w:color w:val="000000"/>
              </w:rPr>
              <w:t>Les différents types d’études et leurs enjeux</w:t>
            </w:r>
            <w:r w:rsidR="00666BB5">
              <w:rPr>
                <w:rFonts w:cs="Arial"/>
                <w:b/>
                <w:color w:val="000000"/>
              </w:rPr>
              <w:t xml:space="preserve"> </w:t>
            </w:r>
            <w:r w:rsidR="00666BB5" w:rsidRPr="00B7376C">
              <w:rPr>
                <w:rFonts w:eastAsia="Times New Roman" w:cs="Arial"/>
                <w:b/>
                <w:color w:val="CC0099"/>
                <w:lang w:eastAsia="fr-FR"/>
              </w:rPr>
              <w:t>(</w:t>
            </w:r>
            <w:r w:rsidR="00666BB5" w:rsidRPr="00666BB5">
              <w:rPr>
                <w:rFonts w:eastAsia="Times New Roman" w:cs="Arial"/>
                <w:b/>
                <w:color w:val="CC0099"/>
                <w:lang w:eastAsia="fr-FR"/>
              </w:rPr>
              <w:t>à relier à la législation sur le stockage de l’information)</w:t>
            </w:r>
          </w:p>
          <w:p w14:paraId="394A493B" w14:textId="77777777" w:rsidR="000E5956" w:rsidRPr="008A7348" w:rsidRDefault="000E5956" w:rsidP="007657D6">
            <w:pPr>
              <w:spacing w:after="0"/>
              <w:ind w:left="34"/>
              <w:rPr>
                <w:rFonts w:cs="Arial"/>
                <w:b/>
                <w:color w:val="000000"/>
              </w:rPr>
            </w:pPr>
          </w:p>
          <w:p w14:paraId="71E82483" w14:textId="77777777" w:rsidR="000E5956" w:rsidRPr="008A7348" w:rsidRDefault="000E5956" w:rsidP="007657D6">
            <w:pPr>
              <w:spacing w:after="0"/>
              <w:ind w:left="34"/>
              <w:rPr>
                <w:rFonts w:cs="Arial"/>
                <w:b/>
                <w:color w:val="000000"/>
              </w:rPr>
            </w:pPr>
            <w:r w:rsidRPr="008A7348">
              <w:rPr>
                <w:rFonts w:cs="Arial"/>
                <w:b/>
                <w:color w:val="000000"/>
              </w:rPr>
              <w:t>Les outils de collecte de l’information</w:t>
            </w:r>
          </w:p>
          <w:p w14:paraId="71CDABC0" w14:textId="77777777" w:rsidR="000E5956" w:rsidRPr="008A7348" w:rsidRDefault="000E5956" w:rsidP="007657D6">
            <w:pPr>
              <w:spacing w:after="0"/>
              <w:ind w:left="34"/>
              <w:rPr>
                <w:rFonts w:cs="Arial"/>
                <w:b/>
                <w:color w:val="000000"/>
              </w:rPr>
            </w:pPr>
          </w:p>
          <w:p w14:paraId="7A42CFD2" w14:textId="77777777" w:rsidR="000E5956" w:rsidRPr="008A7348" w:rsidRDefault="000E5956" w:rsidP="007657D6">
            <w:pPr>
              <w:spacing w:after="0"/>
              <w:ind w:left="34"/>
              <w:rPr>
                <w:rFonts w:cs="Arial"/>
                <w:b/>
                <w:color w:val="000000"/>
              </w:rPr>
            </w:pPr>
            <w:r w:rsidRPr="008A7348">
              <w:rPr>
                <w:rFonts w:cs="Arial"/>
                <w:b/>
                <w:color w:val="000000"/>
              </w:rPr>
              <w:t>La méthodologie des études</w:t>
            </w:r>
            <w:r w:rsidR="00666BB5">
              <w:rPr>
                <w:rFonts w:cs="Arial"/>
                <w:b/>
                <w:color w:val="000000"/>
              </w:rPr>
              <w:t xml:space="preserve"> </w:t>
            </w:r>
          </w:p>
          <w:p w14:paraId="702B9ADB" w14:textId="77777777" w:rsidR="000E5956" w:rsidRPr="008A7348" w:rsidRDefault="000E5956" w:rsidP="007657D6">
            <w:pPr>
              <w:spacing w:after="0"/>
              <w:rPr>
                <w:rFonts w:cs="Arial"/>
              </w:rPr>
            </w:pPr>
            <w:r w:rsidRPr="008A7348">
              <w:rPr>
                <w:rFonts w:cs="Arial"/>
              </w:rPr>
              <w:t>La méthodologie des études : les étapes d’organisation et de réalisation des enquêtes par questionnaires, panels, entretiens, clients-mystères, réunions, observations, …</w:t>
            </w:r>
          </w:p>
          <w:p w14:paraId="53E0AF3B" w14:textId="77777777" w:rsidR="000E5956" w:rsidRPr="008A7348" w:rsidRDefault="000E5956" w:rsidP="007657D6">
            <w:pPr>
              <w:spacing w:after="0"/>
              <w:rPr>
                <w:rFonts w:cs="Arial"/>
              </w:rPr>
            </w:pPr>
          </w:p>
          <w:p w14:paraId="6DAF4505" w14:textId="77777777" w:rsidR="000E5956" w:rsidRPr="008A7348" w:rsidRDefault="000E5956" w:rsidP="007657D6">
            <w:pPr>
              <w:spacing w:after="0"/>
              <w:ind w:left="34"/>
              <w:rPr>
                <w:rFonts w:cs="Arial"/>
                <w:b/>
                <w:color w:val="000000"/>
              </w:rPr>
            </w:pPr>
            <w:r w:rsidRPr="008A7348">
              <w:rPr>
                <w:rFonts w:cs="Arial"/>
                <w:b/>
                <w:color w:val="000000"/>
              </w:rPr>
              <w:t>Les outils numériques de réalisation des études</w:t>
            </w:r>
          </w:p>
          <w:p w14:paraId="77F7C1CE" w14:textId="77777777" w:rsidR="000E5956" w:rsidRPr="008A7348" w:rsidRDefault="000E5956" w:rsidP="007657D6">
            <w:pPr>
              <w:spacing w:after="0"/>
              <w:ind w:left="34"/>
              <w:rPr>
                <w:rFonts w:cs="Arial"/>
                <w:b/>
              </w:rPr>
            </w:pPr>
          </w:p>
          <w:p w14:paraId="76D2F8BD" w14:textId="77777777" w:rsidR="000E5956" w:rsidRPr="008A7348" w:rsidRDefault="000E5956" w:rsidP="007657D6">
            <w:pPr>
              <w:spacing w:after="0"/>
              <w:rPr>
                <w:rFonts w:cs="Arial"/>
                <w:b/>
              </w:rPr>
            </w:pPr>
            <w:r w:rsidRPr="008A7348">
              <w:rPr>
                <w:rFonts w:cs="Arial"/>
                <w:b/>
              </w:rPr>
              <w:t>Les techniques de présentation et de diffusion des résultats d’études</w:t>
            </w:r>
          </w:p>
          <w:p w14:paraId="169D6313" w14:textId="77777777" w:rsidR="000E5956" w:rsidRPr="008A7348" w:rsidRDefault="000E5956" w:rsidP="007657D6">
            <w:pPr>
              <w:spacing w:after="0"/>
              <w:rPr>
                <w:rFonts w:cs="Arial"/>
              </w:rPr>
            </w:pPr>
            <w:r w:rsidRPr="008A7348">
              <w:rPr>
                <w:rFonts w:cs="Arial"/>
              </w:rPr>
              <w:t xml:space="preserve">La proposition de préconisations adaptées </w:t>
            </w:r>
          </w:p>
          <w:p w14:paraId="2EEE7F7C" w14:textId="77777777" w:rsidR="000E5956" w:rsidRPr="008A7348" w:rsidRDefault="000E5956" w:rsidP="00D2675C">
            <w:pPr>
              <w:spacing w:after="0"/>
              <w:rPr>
                <w:rFonts w:cs="Arial"/>
              </w:rPr>
            </w:pPr>
            <w:r w:rsidRPr="008A7348">
              <w:rPr>
                <w:rFonts w:cs="Arial"/>
              </w:rPr>
              <w:t>Les techniques de présentation et de diffusion des résultats d’étude : supports écrits et/oraux, méthodologies de construction d’un rapport d’étude, préAO, note de service, … ainsi que le respect des règles propres à l’unité commerciale (charte graphique, vocabulaire, …)</w:t>
            </w:r>
          </w:p>
        </w:tc>
      </w:tr>
      <w:tr w:rsidR="000E5956" w:rsidRPr="008A7348" w14:paraId="1B2BE963" w14:textId="77777777" w:rsidTr="000E5956">
        <w:trPr>
          <w:trHeight w:val="416"/>
        </w:trPr>
        <w:tc>
          <w:tcPr>
            <w:tcW w:w="5954" w:type="dxa"/>
          </w:tcPr>
          <w:p w14:paraId="4A29CEB8" w14:textId="77777777" w:rsidR="000E5956" w:rsidRPr="008A7348" w:rsidRDefault="000E5956" w:rsidP="001D7CCC">
            <w:pPr>
              <w:spacing w:after="0"/>
              <w:ind w:left="34"/>
              <w:rPr>
                <w:rFonts w:cs="Arial"/>
                <w:b/>
              </w:rPr>
            </w:pPr>
            <w:r w:rsidRPr="008A7348">
              <w:rPr>
                <w:rFonts w:cs="Arial"/>
                <w:b/>
              </w:rPr>
              <w:t>La zone de chalandise</w:t>
            </w:r>
          </w:p>
          <w:p w14:paraId="40EC49F3" w14:textId="77777777" w:rsidR="000E5956" w:rsidRPr="008A7348" w:rsidRDefault="000E5956" w:rsidP="001D7CCC">
            <w:pPr>
              <w:spacing w:after="0"/>
              <w:ind w:left="34"/>
              <w:rPr>
                <w:rFonts w:cs="Arial"/>
                <w:color w:val="00B050"/>
              </w:rPr>
            </w:pPr>
          </w:p>
        </w:tc>
        <w:tc>
          <w:tcPr>
            <w:tcW w:w="8364" w:type="dxa"/>
            <w:shd w:val="clear" w:color="auto" w:fill="auto"/>
          </w:tcPr>
          <w:p w14:paraId="43DDD8B4" w14:textId="77777777" w:rsidR="000E5956" w:rsidRPr="008A7348" w:rsidRDefault="000E5956" w:rsidP="00050C70">
            <w:pPr>
              <w:spacing w:after="0"/>
              <w:ind w:left="34"/>
              <w:rPr>
                <w:rFonts w:cs="Arial"/>
                <w:b/>
                <w:color w:val="000000"/>
              </w:rPr>
            </w:pPr>
            <w:r w:rsidRPr="008A7348">
              <w:rPr>
                <w:rFonts w:cs="Arial"/>
                <w:b/>
                <w:color w:val="000000"/>
              </w:rPr>
              <w:t>Les composantes de la zone de chalandise (ZC)</w:t>
            </w:r>
          </w:p>
          <w:p w14:paraId="30CF3AAC" w14:textId="77777777" w:rsidR="000E5956" w:rsidRPr="008A7348" w:rsidRDefault="000E5956" w:rsidP="00050C70">
            <w:pPr>
              <w:numPr>
                <w:ilvl w:val="0"/>
                <w:numId w:val="3"/>
              </w:numPr>
              <w:spacing w:after="0"/>
              <w:ind w:left="0"/>
              <w:rPr>
                <w:rFonts w:cs="Arial"/>
              </w:rPr>
            </w:pPr>
            <w:r w:rsidRPr="008A7348">
              <w:rPr>
                <w:rFonts w:cs="Arial"/>
              </w:rPr>
              <w:t xml:space="preserve">La notion de ZC et ses composantes </w:t>
            </w:r>
          </w:p>
          <w:p w14:paraId="190AA4B0" w14:textId="77777777" w:rsidR="000E5956" w:rsidRPr="008A7348" w:rsidRDefault="000E5956" w:rsidP="00050C70">
            <w:pPr>
              <w:numPr>
                <w:ilvl w:val="0"/>
                <w:numId w:val="3"/>
              </w:numPr>
              <w:spacing w:after="0"/>
              <w:ind w:left="0"/>
              <w:rPr>
                <w:rFonts w:cs="Arial"/>
              </w:rPr>
            </w:pPr>
            <w:r w:rsidRPr="008A7348">
              <w:rPr>
                <w:rFonts w:cs="Arial"/>
              </w:rPr>
              <w:t>La collecte des données sur la zone de chalandise : sources et caractéristiques de l’information</w:t>
            </w:r>
          </w:p>
          <w:p w14:paraId="485CC35C" w14:textId="77777777" w:rsidR="000E5956" w:rsidRPr="008A7348" w:rsidRDefault="000E5956" w:rsidP="00050C70">
            <w:pPr>
              <w:numPr>
                <w:ilvl w:val="0"/>
                <w:numId w:val="3"/>
              </w:numPr>
              <w:spacing w:after="0"/>
              <w:ind w:left="0"/>
              <w:rPr>
                <w:rFonts w:cs="Arial"/>
              </w:rPr>
            </w:pPr>
          </w:p>
          <w:p w14:paraId="29BF8EF1" w14:textId="77777777" w:rsidR="000E5956" w:rsidRPr="008A7348" w:rsidRDefault="000E5956" w:rsidP="00050C70">
            <w:pPr>
              <w:spacing w:after="0"/>
              <w:ind w:left="34"/>
              <w:rPr>
                <w:rFonts w:cs="Arial"/>
                <w:b/>
                <w:color w:val="000000"/>
              </w:rPr>
            </w:pPr>
            <w:r w:rsidRPr="008A7348">
              <w:rPr>
                <w:rFonts w:cs="Arial"/>
                <w:b/>
                <w:color w:val="000000"/>
              </w:rPr>
              <w:t>La structure et les caractéristiques géographiques et socio-économiques de la clientèle</w:t>
            </w:r>
          </w:p>
          <w:p w14:paraId="34DB8A52" w14:textId="77777777" w:rsidR="000E5956" w:rsidRPr="008A7348" w:rsidRDefault="000E5956" w:rsidP="00050C70">
            <w:pPr>
              <w:spacing w:after="0"/>
              <w:ind w:left="34"/>
              <w:rPr>
                <w:rFonts w:cs="Arial"/>
                <w:b/>
                <w:color w:val="000000"/>
              </w:rPr>
            </w:pPr>
          </w:p>
          <w:p w14:paraId="65562C4D" w14:textId="77777777" w:rsidR="000E5956" w:rsidRPr="008A7348" w:rsidRDefault="000E5956" w:rsidP="00050C70">
            <w:pPr>
              <w:spacing w:after="0"/>
              <w:ind w:left="34"/>
              <w:rPr>
                <w:rFonts w:cs="Arial"/>
                <w:b/>
                <w:color w:val="000000"/>
              </w:rPr>
            </w:pPr>
            <w:r w:rsidRPr="008A7348">
              <w:rPr>
                <w:rFonts w:cs="Arial"/>
                <w:b/>
                <w:color w:val="000000"/>
              </w:rPr>
              <w:t>L’impact de la connaissance de la zone de chalandise sur la politique commerciale de l’unité commerciale</w:t>
            </w:r>
          </w:p>
          <w:p w14:paraId="35EE6EE0" w14:textId="77777777" w:rsidR="000E5956" w:rsidRPr="008A7348" w:rsidRDefault="000E5956" w:rsidP="00050C70">
            <w:pPr>
              <w:spacing w:after="0"/>
              <w:ind w:left="34"/>
              <w:rPr>
                <w:rFonts w:cs="Arial"/>
                <w:b/>
                <w:color w:val="000000"/>
              </w:rPr>
            </w:pPr>
          </w:p>
          <w:p w14:paraId="1720463E" w14:textId="77777777" w:rsidR="000E5956" w:rsidRPr="008A7348" w:rsidRDefault="000E5956" w:rsidP="00050C70">
            <w:pPr>
              <w:spacing w:after="0"/>
              <w:ind w:left="34"/>
              <w:rPr>
                <w:rFonts w:cs="Arial"/>
                <w:b/>
                <w:color w:val="000000"/>
              </w:rPr>
            </w:pPr>
            <w:r w:rsidRPr="008A7348">
              <w:rPr>
                <w:rFonts w:cs="Arial"/>
                <w:b/>
                <w:color w:val="000000"/>
              </w:rPr>
              <w:t>Les méthodes d’évaluation du potentiel de la zone de chalandise</w:t>
            </w:r>
          </w:p>
          <w:p w14:paraId="4C337B36" w14:textId="77777777" w:rsidR="000E5956" w:rsidRPr="008A7348" w:rsidRDefault="000E5956" w:rsidP="00050C70">
            <w:pPr>
              <w:spacing w:after="0"/>
              <w:rPr>
                <w:rFonts w:cs="Arial"/>
              </w:rPr>
            </w:pPr>
            <w:r w:rsidRPr="008A7348">
              <w:rPr>
                <w:rFonts w:cs="Arial"/>
              </w:rPr>
              <w:t>Les méthodes d’évaluation du potentiel de la zone (calcul d’un chiffre d’affaires potentiel)</w:t>
            </w:r>
          </w:p>
          <w:p w14:paraId="6E0A936B" w14:textId="77777777" w:rsidR="000E5956" w:rsidRPr="008A7348" w:rsidRDefault="000E5956" w:rsidP="00050C70">
            <w:pPr>
              <w:spacing w:after="0"/>
              <w:rPr>
                <w:rFonts w:cs="Arial"/>
              </w:rPr>
            </w:pPr>
          </w:p>
          <w:p w14:paraId="26C650AE" w14:textId="77777777" w:rsidR="000E5956" w:rsidRPr="008A7348" w:rsidRDefault="000E5956" w:rsidP="00050C70">
            <w:pPr>
              <w:spacing w:after="0"/>
              <w:ind w:left="34"/>
              <w:contextualSpacing/>
              <w:rPr>
                <w:rFonts w:cs="Arial"/>
                <w:b/>
                <w:color w:val="000000"/>
              </w:rPr>
            </w:pPr>
            <w:r w:rsidRPr="008A7348">
              <w:rPr>
                <w:rFonts w:cs="Arial"/>
                <w:b/>
                <w:color w:val="000000"/>
              </w:rPr>
              <w:t>La zone de chalandise des unités commerciales virtuelles</w:t>
            </w:r>
          </w:p>
          <w:p w14:paraId="2111F0C4" w14:textId="77777777" w:rsidR="000E5956" w:rsidRPr="001947F9" w:rsidRDefault="001947F9" w:rsidP="00050C70">
            <w:pPr>
              <w:spacing w:after="0"/>
              <w:ind w:left="34"/>
              <w:contextualSpacing/>
              <w:rPr>
                <w:rFonts w:cs="Arial"/>
                <w:color w:val="000000"/>
              </w:rPr>
            </w:pPr>
            <w:r w:rsidRPr="001947F9">
              <w:rPr>
                <w:rFonts w:cs="Arial"/>
                <w:color w:val="000000"/>
              </w:rPr>
              <w:t>Les spécificités de la zone de chalandise des unités commerciales virtuelles</w:t>
            </w:r>
          </w:p>
          <w:p w14:paraId="484E429B" w14:textId="77777777" w:rsidR="001947F9" w:rsidRPr="008A7348" w:rsidRDefault="001947F9" w:rsidP="001947F9">
            <w:pPr>
              <w:tabs>
                <w:tab w:val="left" w:pos="2545"/>
              </w:tabs>
              <w:spacing w:after="0"/>
              <w:ind w:left="34"/>
              <w:contextualSpacing/>
              <w:rPr>
                <w:rFonts w:cs="Arial"/>
                <w:b/>
                <w:color w:val="000000"/>
              </w:rPr>
            </w:pPr>
            <w:r>
              <w:rPr>
                <w:rFonts w:cs="Arial"/>
                <w:b/>
                <w:color w:val="000000"/>
              </w:rPr>
              <w:tab/>
            </w:r>
          </w:p>
          <w:p w14:paraId="7D5DFF02" w14:textId="77777777" w:rsidR="000E5956" w:rsidRPr="008A7348" w:rsidRDefault="000E5956" w:rsidP="00050C70">
            <w:pPr>
              <w:numPr>
                <w:ilvl w:val="0"/>
                <w:numId w:val="3"/>
              </w:numPr>
              <w:spacing w:after="0"/>
              <w:ind w:left="0"/>
              <w:rPr>
                <w:rFonts w:cs="Arial"/>
                <w:b/>
              </w:rPr>
            </w:pPr>
            <w:r w:rsidRPr="008A7348">
              <w:rPr>
                <w:rFonts w:cs="Arial"/>
                <w:b/>
                <w:color w:val="000000"/>
              </w:rPr>
              <w:t>Les outils de détermination et d’analyse de la zone de chalandise</w:t>
            </w:r>
          </w:p>
          <w:p w14:paraId="1A0CF39A" w14:textId="77777777" w:rsidR="000E5956" w:rsidRPr="008A7348" w:rsidRDefault="000E5956" w:rsidP="001D7CCC">
            <w:pPr>
              <w:spacing w:after="0"/>
              <w:rPr>
                <w:rFonts w:cs="Arial"/>
              </w:rPr>
            </w:pPr>
            <w:r w:rsidRPr="008A7348">
              <w:rPr>
                <w:rFonts w:cs="Arial"/>
              </w:rPr>
              <w:t>Le marketing de site ou l’adaptation de la politique commerciale en fonction de la zone de chalandise</w:t>
            </w:r>
          </w:p>
          <w:p w14:paraId="7DEA28CB" w14:textId="77777777" w:rsidR="000E5956" w:rsidRPr="008A7348" w:rsidRDefault="000E5956" w:rsidP="001D7CCC">
            <w:pPr>
              <w:spacing w:after="0"/>
              <w:rPr>
                <w:rFonts w:cs="Arial"/>
                <w:color w:val="00B0F0"/>
              </w:rPr>
            </w:pPr>
            <w:r w:rsidRPr="008A7348">
              <w:rPr>
                <w:rFonts w:cs="Arial"/>
              </w:rPr>
              <w:t>Les outils d’analyse de la zone de chalandise et le géomarketing</w:t>
            </w:r>
          </w:p>
        </w:tc>
      </w:tr>
      <w:tr w:rsidR="000E5956" w:rsidRPr="008A7348" w14:paraId="1B908E5A" w14:textId="77777777" w:rsidTr="000E5956">
        <w:tc>
          <w:tcPr>
            <w:tcW w:w="5954" w:type="dxa"/>
          </w:tcPr>
          <w:p w14:paraId="7EA53555" w14:textId="77777777" w:rsidR="000E5956" w:rsidRPr="008A7348" w:rsidRDefault="000E5956" w:rsidP="001D7CCC">
            <w:pPr>
              <w:spacing w:after="0"/>
              <w:ind w:left="34"/>
              <w:rPr>
                <w:rFonts w:cs="Arial"/>
                <w:b/>
              </w:rPr>
            </w:pPr>
            <w:r w:rsidRPr="008A7348">
              <w:rPr>
                <w:rFonts w:cs="Arial"/>
                <w:b/>
              </w:rPr>
              <w:lastRenderedPageBreak/>
              <w:t>La connaissance du client</w:t>
            </w:r>
          </w:p>
          <w:p w14:paraId="22FBEAD4" w14:textId="77777777" w:rsidR="000E5956" w:rsidRPr="008A7348" w:rsidRDefault="000E5956" w:rsidP="001D7CCC">
            <w:pPr>
              <w:spacing w:after="0"/>
              <w:ind w:left="34"/>
              <w:rPr>
                <w:rFonts w:cs="Arial"/>
              </w:rPr>
            </w:pPr>
          </w:p>
          <w:p w14:paraId="356C7EB0" w14:textId="77777777" w:rsidR="000E5956" w:rsidRPr="008A7348" w:rsidRDefault="000E5956" w:rsidP="001D7CCC">
            <w:pPr>
              <w:spacing w:after="0"/>
              <w:ind w:left="34"/>
              <w:rPr>
                <w:rFonts w:cs="Arial"/>
              </w:rPr>
            </w:pPr>
          </w:p>
          <w:p w14:paraId="1E44FE35" w14:textId="77777777" w:rsidR="000E5956" w:rsidRPr="008A7348" w:rsidRDefault="000E5956" w:rsidP="001D7CCC">
            <w:pPr>
              <w:spacing w:after="0"/>
              <w:ind w:left="34"/>
              <w:rPr>
                <w:rFonts w:cs="Arial"/>
              </w:rPr>
            </w:pPr>
          </w:p>
          <w:p w14:paraId="57D8E9AE" w14:textId="77777777" w:rsidR="000E5956" w:rsidRPr="008A7348" w:rsidRDefault="000E5956" w:rsidP="001D7CCC">
            <w:pPr>
              <w:spacing w:after="0"/>
              <w:ind w:left="34"/>
              <w:rPr>
                <w:rFonts w:cs="Arial"/>
              </w:rPr>
            </w:pPr>
          </w:p>
          <w:p w14:paraId="37899B6B" w14:textId="77777777" w:rsidR="000E5956" w:rsidRPr="008A7348" w:rsidRDefault="000E5956" w:rsidP="001D7CCC">
            <w:pPr>
              <w:spacing w:after="0"/>
              <w:ind w:left="34"/>
              <w:rPr>
                <w:rFonts w:cs="Arial"/>
              </w:rPr>
            </w:pPr>
          </w:p>
          <w:p w14:paraId="351C1E3B" w14:textId="77777777" w:rsidR="000E5956" w:rsidRPr="008A7348" w:rsidRDefault="000E5956" w:rsidP="001D7CCC">
            <w:pPr>
              <w:spacing w:after="0"/>
              <w:ind w:left="34"/>
              <w:rPr>
                <w:rFonts w:cs="Arial"/>
              </w:rPr>
            </w:pPr>
          </w:p>
          <w:p w14:paraId="12C0866B" w14:textId="77777777" w:rsidR="000E5956" w:rsidRPr="008A7348" w:rsidRDefault="000E5956" w:rsidP="001D7CCC">
            <w:pPr>
              <w:spacing w:after="0"/>
              <w:ind w:left="34"/>
              <w:rPr>
                <w:rFonts w:cs="Arial"/>
              </w:rPr>
            </w:pPr>
          </w:p>
          <w:p w14:paraId="7EF16732" w14:textId="77777777" w:rsidR="000E5956" w:rsidRPr="008A7348" w:rsidRDefault="000E5956" w:rsidP="001D7CCC">
            <w:pPr>
              <w:spacing w:after="0"/>
              <w:ind w:left="34"/>
              <w:rPr>
                <w:rFonts w:cs="Arial"/>
              </w:rPr>
            </w:pPr>
          </w:p>
          <w:p w14:paraId="0E10EF70" w14:textId="77777777" w:rsidR="000E5956" w:rsidRPr="008A7348" w:rsidRDefault="000E5956" w:rsidP="001D7CCC">
            <w:pPr>
              <w:spacing w:after="0"/>
              <w:ind w:left="34"/>
              <w:rPr>
                <w:rFonts w:cs="Arial"/>
              </w:rPr>
            </w:pPr>
          </w:p>
          <w:p w14:paraId="3ABE6258" w14:textId="77777777" w:rsidR="000E5956" w:rsidRPr="008A7348" w:rsidRDefault="000E5956" w:rsidP="001D7CCC">
            <w:pPr>
              <w:spacing w:after="0"/>
              <w:ind w:left="34"/>
              <w:rPr>
                <w:rFonts w:cs="Arial"/>
              </w:rPr>
            </w:pPr>
          </w:p>
          <w:p w14:paraId="34CFAED3" w14:textId="77777777" w:rsidR="000E5956" w:rsidRPr="008A7348" w:rsidRDefault="000E5956" w:rsidP="001D7CCC">
            <w:pPr>
              <w:spacing w:after="0"/>
              <w:ind w:left="34"/>
              <w:rPr>
                <w:rFonts w:cs="Arial"/>
              </w:rPr>
            </w:pPr>
          </w:p>
          <w:p w14:paraId="1E729ADD" w14:textId="77777777" w:rsidR="000E5956" w:rsidRPr="008A7348" w:rsidRDefault="000E5956" w:rsidP="001D7CCC">
            <w:pPr>
              <w:spacing w:after="0"/>
              <w:ind w:left="34"/>
              <w:rPr>
                <w:rFonts w:cs="Arial"/>
              </w:rPr>
            </w:pPr>
          </w:p>
          <w:p w14:paraId="2DABCB55" w14:textId="77777777" w:rsidR="000E5956" w:rsidRPr="008A7348" w:rsidRDefault="000E5956" w:rsidP="001D7CCC">
            <w:pPr>
              <w:spacing w:after="0"/>
              <w:ind w:left="34"/>
              <w:rPr>
                <w:rFonts w:cs="Arial"/>
              </w:rPr>
            </w:pPr>
          </w:p>
        </w:tc>
        <w:tc>
          <w:tcPr>
            <w:tcW w:w="8364" w:type="dxa"/>
          </w:tcPr>
          <w:p w14:paraId="32A43473" w14:textId="77777777" w:rsidR="000E5956" w:rsidRPr="00F638D0" w:rsidRDefault="000E5956" w:rsidP="00F638D0">
            <w:pPr>
              <w:spacing w:after="0"/>
              <w:ind w:left="34"/>
              <w:rPr>
                <w:rFonts w:cs="Arial"/>
                <w:b/>
                <w:color w:val="000000"/>
              </w:rPr>
            </w:pPr>
            <w:r w:rsidRPr="008A7348">
              <w:rPr>
                <w:rFonts w:cs="Arial"/>
                <w:b/>
                <w:color w:val="000000"/>
              </w:rPr>
              <w:t xml:space="preserve">La segmentation de la </w:t>
            </w:r>
            <w:r>
              <w:rPr>
                <w:rFonts w:cs="Arial"/>
                <w:b/>
                <w:color w:val="000000"/>
              </w:rPr>
              <w:t>demande</w:t>
            </w:r>
          </w:p>
          <w:p w14:paraId="607CFEEF" w14:textId="77777777" w:rsidR="000E5956" w:rsidRPr="008A7348" w:rsidRDefault="000E5956" w:rsidP="00050C70">
            <w:pPr>
              <w:numPr>
                <w:ilvl w:val="0"/>
                <w:numId w:val="3"/>
              </w:numPr>
              <w:spacing w:after="0"/>
              <w:ind w:left="0"/>
              <w:rPr>
                <w:rFonts w:cs="Arial"/>
              </w:rPr>
            </w:pPr>
            <w:r w:rsidRPr="008A7348">
              <w:rPr>
                <w:rFonts w:cs="Arial"/>
              </w:rPr>
              <w:t>La notion de segmentation de la demande et ses enjeux</w:t>
            </w:r>
          </w:p>
          <w:p w14:paraId="364D0AE4" w14:textId="77777777" w:rsidR="000E5956" w:rsidRPr="008A7348" w:rsidRDefault="000E5956" w:rsidP="00050C70">
            <w:pPr>
              <w:numPr>
                <w:ilvl w:val="0"/>
                <w:numId w:val="3"/>
              </w:numPr>
              <w:spacing w:after="0"/>
              <w:ind w:left="0"/>
              <w:rPr>
                <w:rFonts w:cs="Arial"/>
              </w:rPr>
            </w:pPr>
            <w:r w:rsidRPr="008A7348">
              <w:rPr>
                <w:rFonts w:cs="Arial"/>
              </w:rPr>
              <w:t xml:space="preserve">Les critères de segmentation </w:t>
            </w:r>
          </w:p>
          <w:p w14:paraId="44A78E2A" w14:textId="77777777" w:rsidR="000E5956" w:rsidRPr="008A7348" w:rsidRDefault="000E5956" w:rsidP="00050C70">
            <w:pPr>
              <w:numPr>
                <w:ilvl w:val="0"/>
                <w:numId w:val="3"/>
              </w:numPr>
              <w:spacing w:after="0"/>
              <w:ind w:left="0"/>
              <w:rPr>
                <w:rFonts w:cs="Arial"/>
              </w:rPr>
            </w:pPr>
            <w:r w:rsidRPr="008A7348">
              <w:rPr>
                <w:rFonts w:cs="Arial"/>
              </w:rPr>
              <w:t>Les méthodes et stratégies de segmentation</w:t>
            </w:r>
          </w:p>
          <w:p w14:paraId="6B05CA15" w14:textId="77777777" w:rsidR="000E5956" w:rsidRPr="008A7348" w:rsidRDefault="000E5956" w:rsidP="00050C70">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Etude des typologies de clients</w:t>
            </w:r>
          </w:p>
          <w:p w14:paraId="582665E3" w14:textId="77777777" w:rsidR="000E5956" w:rsidRPr="008A7348" w:rsidRDefault="000E5956" w:rsidP="00050C70">
            <w:pPr>
              <w:spacing w:after="0"/>
              <w:rPr>
                <w:rFonts w:cs="Arial"/>
              </w:rPr>
            </w:pPr>
            <w:r w:rsidRPr="008A7348">
              <w:rPr>
                <w:rFonts w:cs="Arial"/>
              </w:rPr>
              <w:t>La connaissance du client (à l’interne et à l’externe)</w:t>
            </w:r>
          </w:p>
          <w:p w14:paraId="541FA2C9" w14:textId="77777777" w:rsidR="000E5956" w:rsidRPr="008A7348" w:rsidRDefault="000E5956" w:rsidP="00050C70">
            <w:pPr>
              <w:spacing w:after="0"/>
              <w:rPr>
                <w:rFonts w:cs="Arial"/>
              </w:rPr>
            </w:pPr>
          </w:p>
          <w:p w14:paraId="5CB4D362" w14:textId="77777777" w:rsidR="000E5956" w:rsidRPr="008A7348" w:rsidRDefault="000E5956" w:rsidP="00050C70">
            <w:pPr>
              <w:spacing w:after="0"/>
              <w:ind w:left="34"/>
              <w:rPr>
                <w:rFonts w:cs="Arial"/>
                <w:b/>
                <w:color w:val="000000"/>
              </w:rPr>
            </w:pPr>
            <w:r w:rsidRPr="008A7348">
              <w:rPr>
                <w:rFonts w:cs="Arial"/>
                <w:b/>
                <w:color w:val="000000"/>
              </w:rPr>
              <w:t>Le comportement du client</w:t>
            </w:r>
          </w:p>
          <w:p w14:paraId="201E32B1" w14:textId="77777777" w:rsidR="000E5956" w:rsidRPr="008A7348" w:rsidRDefault="000E5956" w:rsidP="00050C70">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 comportement du client : Les différents types de besoins, de freins, de motivations, attentes, attitudes et risques</w:t>
            </w:r>
          </w:p>
          <w:p w14:paraId="418B6CD8" w14:textId="77777777" w:rsidR="000E5956" w:rsidRPr="008A7348" w:rsidRDefault="000E5956" w:rsidP="00050C70">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La variété des facteurs d’influence : individuel (personnels), sociaux, culturels, d’environnement, situationnels</w:t>
            </w:r>
          </w:p>
          <w:p w14:paraId="1CDB6B52" w14:textId="77777777" w:rsidR="000E5956" w:rsidRPr="008A7348" w:rsidRDefault="000E5956" w:rsidP="00050C70">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L’impact des facteurs personnels, des influences sociales et de la nature du produit sur le comportement des consommateurs</w:t>
            </w:r>
          </w:p>
          <w:p w14:paraId="28B0DBE4" w14:textId="77777777" w:rsidR="000E5956" w:rsidRPr="008A7348" w:rsidRDefault="000E5956" w:rsidP="00050C70">
            <w:pPr>
              <w:pStyle w:val="Paragraphedeliste"/>
              <w:spacing w:line="276" w:lineRule="auto"/>
              <w:ind w:left="0"/>
              <w:rPr>
                <w:rFonts w:ascii="Calibri" w:hAnsi="Calibri" w:cs="Arial"/>
                <w:sz w:val="22"/>
                <w:szCs w:val="22"/>
              </w:rPr>
            </w:pPr>
            <w:r w:rsidRPr="008A7348">
              <w:rPr>
                <w:rFonts w:ascii="Calibri" w:hAnsi="Calibri" w:cs="Arial"/>
                <w:sz w:val="22"/>
                <w:szCs w:val="22"/>
              </w:rPr>
              <w:t>Les variables explicatives du comportement du consommateur</w:t>
            </w:r>
          </w:p>
          <w:p w14:paraId="23F08F06" w14:textId="77777777" w:rsidR="000E5956" w:rsidRPr="008A7348" w:rsidRDefault="000E5956" w:rsidP="00050C70">
            <w:pPr>
              <w:pStyle w:val="Paragraphedeliste"/>
              <w:spacing w:line="276" w:lineRule="auto"/>
              <w:ind w:left="0"/>
              <w:rPr>
                <w:rFonts w:ascii="Calibri" w:hAnsi="Calibri" w:cs="Arial"/>
                <w:sz w:val="22"/>
                <w:szCs w:val="22"/>
                <w:highlight w:val="yellow"/>
              </w:rPr>
            </w:pPr>
          </w:p>
          <w:p w14:paraId="5EABA0CF" w14:textId="77777777" w:rsidR="000E5956" w:rsidRPr="008A7348" w:rsidRDefault="000E5956" w:rsidP="00050C70">
            <w:pPr>
              <w:spacing w:after="0"/>
              <w:ind w:left="34"/>
              <w:rPr>
                <w:rFonts w:cs="Arial"/>
                <w:b/>
              </w:rPr>
            </w:pPr>
            <w:r w:rsidRPr="008A7348">
              <w:rPr>
                <w:rFonts w:cs="Arial"/>
                <w:b/>
                <w:color w:val="000000"/>
              </w:rPr>
              <w:t>Le processus d’achat dans un contexte omnicanal</w:t>
            </w:r>
            <w:r w:rsidRPr="008A7348">
              <w:rPr>
                <w:rFonts w:cs="Arial"/>
                <w:b/>
              </w:rPr>
              <w:t xml:space="preserve"> </w:t>
            </w:r>
          </w:p>
          <w:p w14:paraId="794517E9" w14:textId="77777777" w:rsidR="000E5956" w:rsidRPr="008A7348" w:rsidRDefault="000E5956" w:rsidP="001D7CCC">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 processus d’achat dans un contexte omnicanal : Les étapes du processus d’achat des biens et services, les participants à ce processus</w:t>
            </w:r>
          </w:p>
          <w:p w14:paraId="6AB3495E" w14:textId="77777777" w:rsidR="000E5956" w:rsidRPr="00F638D0" w:rsidRDefault="000E5956" w:rsidP="00F638D0">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La variété des processus (B to B et B to C, selon le type d’achat, selon le degré d’implication)</w:t>
            </w:r>
            <w:r>
              <w:rPr>
                <w:rFonts w:ascii="Calibri" w:hAnsi="Calibri" w:cs="Arial"/>
                <w:sz w:val="22"/>
                <w:szCs w:val="22"/>
              </w:rPr>
              <w:t>.</w:t>
            </w:r>
          </w:p>
          <w:p w14:paraId="7B128192" w14:textId="77777777" w:rsidR="000E5956" w:rsidRPr="008A7348" w:rsidRDefault="000E5956" w:rsidP="00F638D0">
            <w:pPr>
              <w:spacing w:after="0"/>
              <w:rPr>
                <w:rFonts w:cs="Arial"/>
              </w:rPr>
            </w:pPr>
            <w:r w:rsidRPr="008A7348">
              <w:rPr>
                <w:rFonts w:cs="Arial"/>
              </w:rPr>
              <w:lastRenderedPageBreak/>
              <w:t>La notion de « phygitalisation » du parcours client est expliquée et illustrée.</w:t>
            </w:r>
          </w:p>
          <w:p w14:paraId="1001C9DC" w14:textId="77777777" w:rsidR="000E5956" w:rsidRPr="0029103C" w:rsidRDefault="000E5956" w:rsidP="00F638D0">
            <w:pPr>
              <w:pStyle w:val="Paragraphedeliste"/>
              <w:spacing w:line="276" w:lineRule="auto"/>
              <w:ind w:left="0"/>
              <w:rPr>
                <w:rFonts w:ascii="Calibri" w:hAnsi="Calibri" w:cs="Arial"/>
                <w:sz w:val="22"/>
                <w:szCs w:val="22"/>
              </w:rPr>
            </w:pPr>
          </w:p>
          <w:p w14:paraId="2FA9AE4D" w14:textId="77777777" w:rsidR="000E5956" w:rsidRPr="008A7348" w:rsidRDefault="000E5956" w:rsidP="00E22E5E">
            <w:pPr>
              <w:pStyle w:val="Paragraphedeliste"/>
              <w:numPr>
                <w:ilvl w:val="0"/>
                <w:numId w:val="3"/>
              </w:numPr>
              <w:spacing w:line="276" w:lineRule="auto"/>
              <w:ind w:left="0"/>
              <w:rPr>
                <w:rFonts w:ascii="Calibri" w:hAnsi="Calibri" w:cs="Arial"/>
                <w:sz w:val="22"/>
                <w:szCs w:val="22"/>
              </w:rPr>
            </w:pPr>
            <w:r w:rsidRPr="0029103C">
              <w:rPr>
                <w:rFonts w:ascii="Calibri" w:hAnsi="Calibri" w:cs="Arial"/>
                <w:sz w:val="22"/>
                <w:szCs w:val="22"/>
              </w:rPr>
              <w:t>Le processus de choix (matrice de sélection : choix des critères, pondérations, utilisation sur un échantillon de clients) d’une UC physique et virtuelle.</w:t>
            </w:r>
          </w:p>
        </w:tc>
      </w:tr>
      <w:tr w:rsidR="000E5956" w:rsidRPr="008A7348" w14:paraId="09637695" w14:textId="77777777" w:rsidTr="000E5956">
        <w:trPr>
          <w:trHeight w:val="280"/>
        </w:trPr>
        <w:tc>
          <w:tcPr>
            <w:tcW w:w="5954" w:type="dxa"/>
          </w:tcPr>
          <w:p w14:paraId="13B1C606" w14:textId="77777777" w:rsidR="000E5956" w:rsidRPr="008A7348" w:rsidRDefault="000E5956" w:rsidP="001D7CCC">
            <w:pPr>
              <w:spacing w:after="0"/>
              <w:ind w:left="34"/>
              <w:rPr>
                <w:rFonts w:cs="Arial"/>
                <w:b/>
              </w:rPr>
            </w:pPr>
            <w:r w:rsidRPr="008A7348">
              <w:rPr>
                <w:rFonts w:cs="Arial"/>
                <w:b/>
              </w:rPr>
              <w:lastRenderedPageBreak/>
              <w:t>Les facteurs d’influence de l’achat</w:t>
            </w:r>
          </w:p>
          <w:p w14:paraId="260697EB" w14:textId="77777777" w:rsidR="000E5956" w:rsidRPr="008A7348" w:rsidRDefault="000E5956" w:rsidP="001D7CCC">
            <w:pPr>
              <w:spacing w:after="0"/>
              <w:ind w:left="34"/>
              <w:rPr>
                <w:rFonts w:cs="Arial"/>
                <w:b/>
              </w:rPr>
            </w:pPr>
          </w:p>
        </w:tc>
        <w:tc>
          <w:tcPr>
            <w:tcW w:w="8364" w:type="dxa"/>
          </w:tcPr>
          <w:p w14:paraId="65FECDA3" w14:textId="77777777" w:rsidR="000E5956" w:rsidRPr="008A7348" w:rsidRDefault="000E5956" w:rsidP="00050C70">
            <w:pPr>
              <w:spacing w:after="0"/>
              <w:ind w:left="34"/>
              <w:rPr>
                <w:rFonts w:cs="Arial"/>
                <w:b/>
                <w:color w:val="000000"/>
              </w:rPr>
            </w:pPr>
            <w:r w:rsidRPr="008A7348">
              <w:rPr>
                <w:rFonts w:cs="Arial"/>
                <w:b/>
                <w:color w:val="000000"/>
              </w:rPr>
              <w:t>La nature et le rôle des influenceurs</w:t>
            </w:r>
          </w:p>
          <w:p w14:paraId="7B23DA0D" w14:textId="77777777" w:rsidR="000E5956" w:rsidRPr="008A7348" w:rsidRDefault="000E5956" w:rsidP="0085780F">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La typologie des intervenants dans l’acte d’achat : acheteur, utilisateur, leader d’opinion, prescripteur, influenceur…</w:t>
            </w:r>
          </w:p>
          <w:p w14:paraId="29711DE2" w14:textId="77777777" w:rsidR="000E5956" w:rsidRPr="008A7348" w:rsidRDefault="000E5956" w:rsidP="0085780F">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 rôle spécifique des influenceurs sur l’acte d’achat</w:t>
            </w:r>
          </w:p>
          <w:p w14:paraId="73943600" w14:textId="77777777" w:rsidR="000E5956" w:rsidRPr="008A7348" w:rsidRDefault="000E5956" w:rsidP="0085780F">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Les outils numériques utilisés par les influenceurs</w:t>
            </w:r>
          </w:p>
          <w:p w14:paraId="17E8821B" w14:textId="77777777" w:rsidR="000E5956" w:rsidRPr="008A7348" w:rsidRDefault="000E5956" w:rsidP="0085780F">
            <w:pPr>
              <w:pStyle w:val="Paragraphedeliste"/>
              <w:numPr>
                <w:ilvl w:val="0"/>
                <w:numId w:val="3"/>
              </w:numPr>
              <w:spacing w:line="276" w:lineRule="auto"/>
              <w:ind w:left="0"/>
              <w:rPr>
                <w:rFonts w:ascii="Calibri" w:hAnsi="Calibri" w:cs="Arial"/>
                <w:b/>
                <w:sz w:val="22"/>
                <w:szCs w:val="22"/>
              </w:rPr>
            </w:pPr>
            <w:r w:rsidRPr="008A7348">
              <w:rPr>
                <w:rFonts w:ascii="Calibri" w:hAnsi="Calibri" w:cs="Arial"/>
                <w:sz w:val="22"/>
                <w:szCs w:val="22"/>
              </w:rPr>
              <w:t xml:space="preserve">Les influenceurs comme prescripteurs des marques </w:t>
            </w:r>
          </w:p>
          <w:p w14:paraId="4DD4130F" w14:textId="77777777" w:rsidR="000E5956" w:rsidRPr="008A7348" w:rsidRDefault="000E5956" w:rsidP="0085780F">
            <w:pPr>
              <w:pStyle w:val="Paragraphedeliste"/>
              <w:numPr>
                <w:ilvl w:val="0"/>
                <w:numId w:val="3"/>
              </w:numPr>
              <w:spacing w:line="276" w:lineRule="auto"/>
              <w:ind w:left="0"/>
              <w:rPr>
                <w:rFonts w:ascii="Calibri" w:hAnsi="Calibri" w:cs="Arial"/>
                <w:b/>
                <w:sz w:val="22"/>
                <w:szCs w:val="22"/>
              </w:rPr>
            </w:pPr>
          </w:p>
          <w:p w14:paraId="5BEC0AB4" w14:textId="77777777" w:rsidR="000E5956" w:rsidRPr="008A7348" w:rsidRDefault="000E5956" w:rsidP="0085780F">
            <w:pPr>
              <w:pStyle w:val="Paragraphedeliste"/>
              <w:numPr>
                <w:ilvl w:val="0"/>
                <w:numId w:val="3"/>
              </w:numPr>
              <w:spacing w:line="276" w:lineRule="auto"/>
              <w:ind w:left="0"/>
              <w:rPr>
                <w:rFonts w:ascii="Calibri" w:hAnsi="Calibri" w:cs="Arial"/>
                <w:b/>
                <w:sz w:val="22"/>
                <w:szCs w:val="22"/>
              </w:rPr>
            </w:pPr>
            <w:r w:rsidRPr="008A7348">
              <w:rPr>
                <w:rFonts w:ascii="Calibri" w:hAnsi="Calibri" w:cs="Arial"/>
                <w:b/>
                <w:color w:val="000000"/>
                <w:sz w:val="22"/>
                <w:szCs w:val="22"/>
              </w:rPr>
              <w:t>Les facteurs contextuels</w:t>
            </w:r>
          </w:p>
        </w:tc>
      </w:tr>
      <w:tr w:rsidR="000E5956" w:rsidRPr="008A7348" w14:paraId="502780B1" w14:textId="77777777" w:rsidTr="000E5956">
        <w:trPr>
          <w:trHeight w:val="1117"/>
        </w:trPr>
        <w:tc>
          <w:tcPr>
            <w:tcW w:w="5954" w:type="dxa"/>
          </w:tcPr>
          <w:p w14:paraId="47C8E7C7" w14:textId="77777777" w:rsidR="000E5956" w:rsidRPr="008A7348" w:rsidRDefault="000E5956" w:rsidP="001D7CCC">
            <w:pPr>
              <w:spacing w:after="0"/>
              <w:ind w:left="34"/>
              <w:rPr>
                <w:rFonts w:cs="Arial"/>
                <w:b/>
              </w:rPr>
            </w:pPr>
            <w:r w:rsidRPr="008A7348">
              <w:rPr>
                <w:rFonts w:cs="Arial"/>
                <w:b/>
              </w:rPr>
              <w:t>La vente et le conseil client dans un contexte omnicanal</w:t>
            </w:r>
          </w:p>
          <w:p w14:paraId="0170993C" w14:textId="77777777" w:rsidR="000E5956" w:rsidRPr="008A7348" w:rsidRDefault="000E5956" w:rsidP="001D7CCC">
            <w:pPr>
              <w:spacing w:after="0"/>
              <w:ind w:left="34"/>
              <w:rPr>
                <w:rFonts w:cs="Arial"/>
                <w:color w:val="00B050"/>
              </w:rPr>
            </w:pPr>
          </w:p>
        </w:tc>
        <w:tc>
          <w:tcPr>
            <w:tcW w:w="8364" w:type="dxa"/>
          </w:tcPr>
          <w:p w14:paraId="57B34167" w14:textId="77777777" w:rsidR="000E5956" w:rsidRPr="008A7348" w:rsidRDefault="000E5956" w:rsidP="0085780F">
            <w:pPr>
              <w:spacing w:after="0"/>
              <w:ind w:left="34"/>
              <w:rPr>
                <w:rFonts w:cs="Arial"/>
                <w:b/>
              </w:rPr>
            </w:pPr>
            <w:r w:rsidRPr="008A7348">
              <w:rPr>
                <w:rFonts w:cs="Arial"/>
                <w:b/>
              </w:rPr>
              <w:t>La communication interpersonnelle et l’efficacité relationnelle</w:t>
            </w:r>
          </w:p>
          <w:p w14:paraId="12E0E583" w14:textId="77777777" w:rsidR="000E5956" w:rsidRPr="008A7348" w:rsidRDefault="000E5956" w:rsidP="0085780F">
            <w:pPr>
              <w:pStyle w:val="Paragraphedeliste"/>
              <w:spacing w:line="276" w:lineRule="auto"/>
              <w:ind w:left="0"/>
              <w:rPr>
                <w:rFonts w:ascii="Calibri" w:hAnsi="Calibri" w:cs="Arial"/>
                <w:sz w:val="22"/>
                <w:szCs w:val="22"/>
              </w:rPr>
            </w:pPr>
            <w:r w:rsidRPr="008A7348">
              <w:rPr>
                <w:rFonts w:ascii="Calibri" w:hAnsi="Calibri" w:cs="Arial"/>
                <w:sz w:val="22"/>
                <w:szCs w:val="22"/>
              </w:rPr>
              <w:t>La communication interpersonnelle et l’efficacité relationnelle : la notion et les principes de la communication interpersonnelle (= les comportements des personnels de contact) : écoute active, questionnement, reformulation, argumentation, …</w:t>
            </w:r>
          </w:p>
          <w:p w14:paraId="58D19068" w14:textId="77777777" w:rsidR="000E5956" w:rsidRPr="008A7348" w:rsidRDefault="000E5956" w:rsidP="0085780F">
            <w:pPr>
              <w:numPr>
                <w:ilvl w:val="0"/>
                <w:numId w:val="8"/>
              </w:numPr>
              <w:spacing w:after="0"/>
              <w:ind w:left="0"/>
              <w:rPr>
                <w:rFonts w:cs="Arial"/>
              </w:rPr>
            </w:pPr>
            <w:r w:rsidRPr="008A7348">
              <w:rPr>
                <w:rFonts w:cs="Arial"/>
              </w:rPr>
              <w:t>La notion de savoir être, d’attitude, de posture professionnelle</w:t>
            </w:r>
          </w:p>
          <w:p w14:paraId="7A9DB9FF" w14:textId="77777777" w:rsidR="000E5956" w:rsidRPr="008A7348" w:rsidRDefault="00BE4DDD" w:rsidP="0085780F">
            <w:pPr>
              <w:pStyle w:val="Paragraphedeliste"/>
              <w:spacing w:line="276" w:lineRule="auto"/>
              <w:ind w:left="0"/>
              <w:rPr>
                <w:rFonts w:ascii="Calibri" w:hAnsi="Calibri" w:cs="Arial"/>
                <w:sz w:val="22"/>
                <w:szCs w:val="22"/>
              </w:rPr>
            </w:pPr>
            <w:r>
              <w:rPr>
                <w:rFonts w:ascii="Calibri" w:hAnsi="Calibri" w:cs="Arial"/>
                <w:sz w:val="22"/>
                <w:szCs w:val="22"/>
              </w:rPr>
              <w:t xml:space="preserve">L’importance du </w:t>
            </w:r>
            <w:r w:rsidR="000E5956" w:rsidRPr="008A7348">
              <w:rPr>
                <w:rFonts w:ascii="Calibri" w:hAnsi="Calibri" w:cs="Arial"/>
                <w:sz w:val="22"/>
                <w:szCs w:val="22"/>
              </w:rPr>
              <w:t>s</w:t>
            </w:r>
            <w:r>
              <w:rPr>
                <w:rFonts w:ascii="Calibri" w:hAnsi="Calibri" w:cs="Arial"/>
                <w:sz w:val="22"/>
                <w:szCs w:val="22"/>
              </w:rPr>
              <w:t>avoir-</w:t>
            </w:r>
            <w:r w:rsidR="000E5956" w:rsidRPr="008A7348">
              <w:rPr>
                <w:rFonts w:ascii="Calibri" w:hAnsi="Calibri" w:cs="Arial"/>
                <w:sz w:val="22"/>
                <w:szCs w:val="22"/>
              </w:rPr>
              <w:t>être</w:t>
            </w:r>
          </w:p>
          <w:p w14:paraId="0FF57223" w14:textId="77777777" w:rsidR="000E5956" w:rsidRPr="008A7348" w:rsidRDefault="000E5956" w:rsidP="0085780F">
            <w:pPr>
              <w:pStyle w:val="Paragraphedeliste"/>
              <w:spacing w:line="276" w:lineRule="auto"/>
              <w:ind w:left="0"/>
              <w:rPr>
                <w:rFonts w:ascii="Calibri" w:hAnsi="Calibri" w:cs="Arial"/>
                <w:sz w:val="22"/>
                <w:szCs w:val="22"/>
              </w:rPr>
            </w:pPr>
            <w:r w:rsidRPr="008A7348">
              <w:rPr>
                <w:rFonts w:ascii="Calibri" w:hAnsi="Calibri" w:cs="Arial"/>
                <w:sz w:val="22"/>
                <w:szCs w:val="22"/>
              </w:rPr>
              <w:t>Les techniques d’accueil</w:t>
            </w:r>
          </w:p>
          <w:p w14:paraId="56285DFD" w14:textId="77777777" w:rsidR="000E5956" w:rsidRPr="008A7348" w:rsidRDefault="000E5956" w:rsidP="0085780F">
            <w:pPr>
              <w:pStyle w:val="Paragraphedeliste"/>
              <w:spacing w:line="276" w:lineRule="auto"/>
              <w:ind w:left="0"/>
              <w:rPr>
                <w:rFonts w:ascii="Calibri" w:hAnsi="Calibri" w:cs="Arial"/>
                <w:sz w:val="22"/>
                <w:szCs w:val="22"/>
              </w:rPr>
            </w:pPr>
          </w:p>
          <w:p w14:paraId="65AA925E" w14:textId="77777777" w:rsidR="000E5956" w:rsidRPr="008A7348" w:rsidRDefault="000E5956" w:rsidP="0085780F">
            <w:pPr>
              <w:spacing w:after="0"/>
              <w:ind w:left="34"/>
              <w:rPr>
                <w:rFonts w:cs="Arial"/>
                <w:b/>
                <w:color w:val="000000"/>
              </w:rPr>
            </w:pPr>
            <w:r w:rsidRPr="008A7348">
              <w:rPr>
                <w:rFonts w:cs="Arial"/>
                <w:b/>
                <w:color w:val="000000"/>
              </w:rPr>
              <w:t>Les étapes de la vente</w:t>
            </w:r>
          </w:p>
          <w:p w14:paraId="5BBE09B9" w14:textId="77777777" w:rsidR="000E5956" w:rsidRPr="008A7348" w:rsidRDefault="000E5956" w:rsidP="0085780F">
            <w:pPr>
              <w:pStyle w:val="Paragraphedeliste"/>
              <w:numPr>
                <w:ilvl w:val="0"/>
                <w:numId w:val="8"/>
              </w:numPr>
              <w:spacing w:line="276" w:lineRule="auto"/>
              <w:ind w:left="0"/>
              <w:rPr>
                <w:rFonts w:ascii="Calibri" w:hAnsi="Calibri" w:cs="Arial"/>
                <w:sz w:val="22"/>
                <w:szCs w:val="22"/>
              </w:rPr>
            </w:pPr>
            <w:r w:rsidRPr="008A7348">
              <w:rPr>
                <w:rFonts w:ascii="Calibri" w:hAnsi="Calibri" w:cs="Arial"/>
                <w:sz w:val="22"/>
                <w:szCs w:val="22"/>
              </w:rPr>
              <w:t>Les étapes de la vente et l’importance de la préparation de la vente</w:t>
            </w:r>
          </w:p>
          <w:p w14:paraId="2487D56D" w14:textId="77777777" w:rsidR="000E5956" w:rsidRPr="008A7348" w:rsidRDefault="000E5956" w:rsidP="0085780F">
            <w:pPr>
              <w:pStyle w:val="Paragraphedeliste"/>
              <w:numPr>
                <w:ilvl w:val="0"/>
                <w:numId w:val="8"/>
              </w:numPr>
              <w:spacing w:line="276" w:lineRule="auto"/>
              <w:ind w:left="0"/>
              <w:rPr>
                <w:rFonts w:ascii="Calibri" w:hAnsi="Calibri" w:cs="Arial"/>
                <w:sz w:val="22"/>
                <w:szCs w:val="22"/>
              </w:rPr>
            </w:pPr>
          </w:p>
          <w:p w14:paraId="0A137A90" w14:textId="77777777" w:rsidR="000E5956" w:rsidRPr="008A7348" w:rsidRDefault="000E5956" w:rsidP="0085780F">
            <w:pPr>
              <w:spacing w:after="0"/>
              <w:ind w:left="34"/>
              <w:rPr>
                <w:rFonts w:cs="Arial"/>
                <w:b/>
                <w:color w:val="000000"/>
              </w:rPr>
            </w:pPr>
            <w:r w:rsidRPr="008A7348">
              <w:rPr>
                <w:rFonts w:cs="Arial"/>
                <w:b/>
                <w:color w:val="000000"/>
              </w:rPr>
              <w:t xml:space="preserve">Les techniques de vente </w:t>
            </w:r>
          </w:p>
          <w:p w14:paraId="28519020" w14:textId="77777777" w:rsidR="000E5956" w:rsidRPr="008A7348" w:rsidRDefault="000E5956" w:rsidP="0085780F">
            <w:pPr>
              <w:spacing w:after="0"/>
              <w:rPr>
                <w:rFonts w:cs="Arial"/>
              </w:rPr>
            </w:pPr>
            <w:r w:rsidRPr="008A7348">
              <w:rPr>
                <w:rFonts w:cs="Arial"/>
              </w:rPr>
              <w:t>Les techniques de vente : questionnement, d’argumentation, de traitement des objections</w:t>
            </w:r>
          </w:p>
          <w:p w14:paraId="5C12DCBC" w14:textId="77777777" w:rsidR="000E5956" w:rsidRPr="008A7348" w:rsidRDefault="000E5956" w:rsidP="0085780F">
            <w:pPr>
              <w:spacing w:after="0"/>
              <w:rPr>
                <w:rFonts w:cs="Arial"/>
              </w:rPr>
            </w:pPr>
          </w:p>
          <w:p w14:paraId="5AAB1294" w14:textId="77777777" w:rsidR="000E5956" w:rsidRPr="008A7348" w:rsidRDefault="000E5956" w:rsidP="0085780F">
            <w:pPr>
              <w:spacing w:after="0"/>
              <w:ind w:left="34"/>
              <w:rPr>
                <w:rFonts w:cs="Arial"/>
                <w:b/>
                <w:color w:val="000000"/>
              </w:rPr>
            </w:pPr>
            <w:r w:rsidRPr="008A7348">
              <w:rPr>
                <w:rFonts w:cs="Arial"/>
                <w:b/>
                <w:color w:val="000000"/>
              </w:rPr>
              <w:t xml:space="preserve">Les outils d’aide à la vente </w:t>
            </w:r>
          </w:p>
          <w:p w14:paraId="6FF4A263" w14:textId="77777777" w:rsidR="000E5956" w:rsidRPr="008A7348" w:rsidRDefault="000E5956" w:rsidP="0085780F">
            <w:pPr>
              <w:spacing w:after="0"/>
              <w:ind w:left="34"/>
              <w:rPr>
                <w:rFonts w:cs="Arial"/>
                <w:b/>
                <w:color w:val="000000"/>
              </w:rPr>
            </w:pPr>
          </w:p>
          <w:p w14:paraId="17069C04" w14:textId="77777777" w:rsidR="000E5956" w:rsidRPr="008A7348" w:rsidRDefault="000E5956" w:rsidP="0085780F">
            <w:pPr>
              <w:spacing w:after="0"/>
              <w:ind w:left="34"/>
              <w:rPr>
                <w:rFonts w:cs="Arial"/>
                <w:b/>
                <w:color w:val="000000"/>
              </w:rPr>
            </w:pPr>
            <w:r w:rsidRPr="008A7348">
              <w:rPr>
                <w:rFonts w:cs="Arial"/>
                <w:b/>
                <w:color w:val="000000"/>
              </w:rPr>
              <w:t xml:space="preserve">Les outils numériques au service du conseil et de la vente </w:t>
            </w:r>
          </w:p>
          <w:p w14:paraId="739BF63B" w14:textId="77777777" w:rsidR="000E5956" w:rsidRPr="008A7348" w:rsidRDefault="000E5956" w:rsidP="0085780F">
            <w:pPr>
              <w:spacing w:after="0"/>
              <w:ind w:left="34"/>
              <w:rPr>
                <w:rFonts w:cs="Arial"/>
                <w:b/>
                <w:color w:val="000000"/>
              </w:rPr>
            </w:pPr>
          </w:p>
          <w:p w14:paraId="414218CA" w14:textId="77777777" w:rsidR="000E5956" w:rsidRPr="008A7348" w:rsidRDefault="000E5956" w:rsidP="0085780F">
            <w:pPr>
              <w:pStyle w:val="Paragraphedeliste"/>
              <w:spacing w:line="276" w:lineRule="auto"/>
              <w:ind w:left="0"/>
              <w:rPr>
                <w:rFonts w:ascii="Calibri" w:hAnsi="Calibri" w:cs="Arial"/>
                <w:color w:val="CC0099"/>
                <w:sz w:val="22"/>
                <w:szCs w:val="22"/>
              </w:rPr>
            </w:pPr>
            <w:r w:rsidRPr="008A7348">
              <w:rPr>
                <w:rFonts w:ascii="Calibri" w:hAnsi="Calibri" w:cs="Arial"/>
                <w:b/>
                <w:color w:val="CC0099"/>
                <w:sz w:val="22"/>
                <w:szCs w:val="22"/>
              </w:rPr>
              <w:t>Le contrat de vente</w:t>
            </w:r>
          </w:p>
          <w:p w14:paraId="1FBDD1D4" w14:textId="77777777" w:rsidR="000E5956" w:rsidRPr="008A7348" w:rsidRDefault="000E5956" w:rsidP="00712056">
            <w:pPr>
              <w:pStyle w:val="Paragraphedeliste"/>
              <w:spacing w:line="276" w:lineRule="auto"/>
              <w:ind w:left="0"/>
              <w:rPr>
                <w:rFonts w:ascii="Calibri" w:hAnsi="Calibri" w:cs="Arial"/>
                <w:color w:val="CC0099"/>
                <w:sz w:val="22"/>
                <w:szCs w:val="22"/>
              </w:rPr>
            </w:pPr>
            <w:r w:rsidRPr="008A7348">
              <w:rPr>
                <w:rFonts w:ascii="Calibri" w:hAnsi="Calibri" w:cs="Arial"/>
                <w:color w:val="CC0099"/>
                <w:sz w:val="22"/>
                <w:szCs w:val="22"/>
              </w:rPr>
              <w:t>Le contrat de vente et les législations spécifiques à la vente</w:t>
            </w:r>
            <w:r w:rsidR="008269FA">
              <w:rPr>
                <w:rFonts w:ascii="Calibri" w:hAnsi="Calibri" w:cs="Arial"/>
                <w:color w:val="CC0099"/>
                <w:sz w:val="22"/>
                <w:szCs w:val="22"/>
              </w:rPr>
              <w:t xml:space="preserve"> (mentions obligatoires, clauses abusives)</w:t>
            </w:r>
          </w:p>
        </w:tc>
      </w:tr>
      <w:tr w:rsidR="000E5956" w:rsidRPr="008A7348" w14:paraId="267E3860" w14:textId="77777777" w:rsidTr="000E5956">
        <w:tc>
          <w:tcPr>
            <w:tcW w:w="5954" w:type="dxa"/>
          </w:tcPr>
          <w:p w14:paraId="1680D581" w14:textId="77777777" w:rsidR="000E5956" w:rsidRPr="008A7348" w:rsidRDefault="000E5956" w:rsidP="001D7CCC">
            <w:pPr>
              <w:spacing w:after="0"/>
              <w:ind w:left="34"/>
              <w:rPr>
                <w:rFonts w:cs="Arial"/>
                <w:b/>
                <w:color w:val="000000"/>
              </w:rPr>
            </w:pPr>
            <w:r w:rsidRPr="008A7348">
              <w:rPr>
                <w:rFonts w:cs="Arial"/>
                <w:b/>
                <w:color w:val="000000"/>
              </w:rPr>
              <w:t>Le marketing après-vente et la fidélisation</w:t>
            </w:r>
          </w:p>
          <w:p w14:paraId="678B691D" w14:textId="77777777" w:rsidR="000E5956" w:rsidRPr="008A7348" w:rsidRDefault="000E5956" w:rsidP="0085780F">
            <w:pPr>
              <w:pStyle w:val="Paragraphedeliste"/>
              <w:spacing w:line="276" w:lineRule="auto"/>
              <w:ind w:left="34"/>
              <w:rPr>
                <w:rFonts w:ascii="Calibri" w:hAnsi="Calibri" w:cs="Arial"/>
                <w:color w:val="00B050"/>
                <w:sz w:val="22"/>
                <w:szCs w:val="22"/>
              </w:rPr>
            </w:pPr>
          </w:p>
        </w:tc>
        <w:tc>
          <w:tcPr>
            <w:tcW w:w="8364" w:type="dxa"/>
          </w:tcPr>
          <w:p w14:paraId="6A4C60AA" w14:textId="77777777" w:rsidR="000E5956" w:rsidRPr="008A7348" w:rsidRDefault="000E5956" w:rsidP="0085780F">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notions de satisfaction, de fidélité et de fidélisation</w:t>
            </w:r>
          </w:p>
          <w:p w14:paraId="0F253F84" w14:textId="77777777" w:rsidR="000E5956" w:rsidRPr="008A7348" w:rsidRDefault="000E5956" w:rsidP="0085780F">
            <w:pPr>
              <w:pStyle w:val="Paragraphedeliste"/>
              <w:spacing w:line="276" w:lineRule="auto"/>
              <w:ind w:left="34"/>
              <w:rPr>
                <w:rFonts w:ascii="Calibri" w:hAnsi="Calibri" w:cs="Arial"/>
                <w:b/>
                <w:color w:val="000000"/>
                <w:sz w:val="22"/>
                <w:szCs w:val="22"/>
              </w:rPr>
            </w:pPr>
          </w:p>
          <w:p w14:paraId="230251B1" w14:textId="77777777" w:rsidR="000E5956" w:rsidRPr="008A7348" w:rsidRDefault="000E5956" w:rsidP="0085780F">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lastRenderedPageBreak/>
              <w:t>Les enjeux du suivi de la clientèle dans la démarche commerciale</w:t>
            </w:r>
          </w:p>
          <w:p w14:paraId="2B04C99F" w14:textId="77777777" w:rsidR="000E5956" w:rsidRPr="008A7348" w:rsidRDefault="000E5956" w:rsidP="0085780F">
            <w:pPr>
              <w:pStyle w:val="Paragraphedeliste"/>
              <w:spacing w:line="276" w:lineRule="auto"/>
              <w:ind w:left="34"/>
              <w:rPr>
                <w:rFonts w:ascii="Calibri" w:hAnsi="Calibri" w:cs="Arial"/>
                <w:b/>
                <w:color w:val="000000"/>
                <w:sz w:val="22"/>
                <w:szCs w:val="22"/>
              </w:rPr>
            </w:pPr>
          </w:p>
          <w:p w14:paraId="71B795D3" w14:textId="77777777" w:rsidR="000E5956" w:rsidRPr="008A7348" w:rsidRDefault="000E5956" w:rsidP="0085780F">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outils et les moyens du marketing après-vente</w:t>
            </w:r>
          </w:p>
          <w:p w14:paraId="2AFBC148" w14:textId="77777777" w:rsidR="000E5956" w:rsidRPr="008A7348" w:rsidRDefault="000E5956" w:rsidP="0085780F">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 xml:space="preserve">Les outils et les moyens du marketing après-vente : les techniques de fidélisation et d’accompagnement du client </w:t>
            </w:r>
          </w:p>
          <w:p w14:paraId="1732A3ED" w14:textId="77777777" w:rsidR="000E5956" w:rsidRPr="008A7348" w:rsidRDefault="000E5956" w:rsidP="0085780F">
            <w:pPr>
              <w:pStyle w:val="Paragraphedeliste"/>
              <w:numPr>
                <w:ilvl w:val="0"/>
                <w:numId w:val="3"/>
              </w:numPr>
              <w:spacing w:line="276" w:lineRule="auto"/>
              <w:ind w:left="0"/>
              <w:rPr>
                <w:rFonts w:ascii="Calibri" w:hAnsi="Calibri" w:cs="Arial"/>
                <w:sz w:val="22"/>
                <w:szCs w:val="22"/>
              </w:rPr>
            </w:pPr>
          </w:p>
          <w:p w14:paraId="0CC77A7E" w14:textId="77777777" w:rsidR="000E5956" w:rsidRPr="008A7348" w:rsidRDefault="000E5956" w:rsidP="0085780F">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La mesure de la satisfaction et de la fidélisation</w:t>
            </w:r>
          </w:p>
          <w:p w14:paraId="5BB2DA83" w14:textId="77777777" w:rsidR="000E5956" w:rsidRPr="008A7348" w:rsidRDefault="000E5956" w:rsidP="0085780F">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Les outils de mesure et de suivi de satisfaction et de fidélisation</w:t>
            </w:r>
          </w:p>
          <w:p w14:paraId="7775A9E7" w14:textId="77777777" w:rsidR="00D1425F" w:rsidRPr="00791323" w:rsidRDefault="00791323" w:rsidP="0085780F">
            <w:pPr>
              <w:pStyle w:val="Paragraphedeliste"/>
              <w:numPr>
                <w:ilvl w:val="0"/>
                <w:numId w:val="3"/>
              </w:numPr>
              <w:spacing w:line="276" w:lineRule="auto"/>
              <w:ind w:left="34"/>
              <w:rPr>
                <w:rFonts w:ascii="Calibri" w:hAnsi="Calibri" w:cs="Arial"/>
                <w:color w:val="000000" w:themeColor="text1"/>
                <w:sz w:val="22"/>
                <w:szCs w:val="22"/>
              </w:rPr>
            </w:pPr>
            <w:r w:rsidRPr="00791323">
              <w:rPr>
                <w:rFonts w:ascii="Calibri" w:hAnsi="Calibri" w:cs="Arial"/>
                <w:color w:val="000000" w:themeColor="text1"/>
                <w:sz w:val="22"/>
                <w:szCs w:val="22"/>
              </w:rPr>
              <w:t xml:space="preserve">Le retour sur investissement </w:t>
            </w:r>
            <w:r w:rsidR="004F40A8">
              <w:rPr>
                <w:rFonts w:ascii="Calibri" w:hAnsi="Calibri" w:cs="Arial"/>
                <w:color w:val="000000" w:themeColor="text1"/>
                <w:sz w:val="22"/>
                <w:szCs w:val="22"/>
              </w:rPr>
              <w:t>des programmes de fidélisation</w:t>
            </w:r>
          </w:p>
          <w:p w14:paraId="78040CB5" w14:textId="77777777" w:rsidR="00791323" w:rsidRPr="00F32642" w:rsidRDefault="00791323" w:rsidP="0085780F">
            <w:pPr>
              <w:pStyle w:val="Paragraphedeliste"/>
              <w:numPr>
                <w:ilvl w:val="0"/>
                <w:numId w:val="3"/>
              </w:numPr>
              <w:spacing w:line="276" w:lineRule="auto"/>
              <w:ind w:left="34"/>
              <w:rPr>
                <w:rFonts w:ascii="Calibri" w:hAnsi="Calibri" w:cs="Arial"/>
                <w:b/>
                <w:color w:val="000000" w:themeColor="text1"/>
                <w:sz w:val="22"/>
                <w:szCs w:val="22"/>
              </w:rPr>
            </w:pPr>
          </w:p>
          <w:p w14:paraId="4E687D74" w14:textId="5264AFBC" w:rsidR="000E5956" w:rsidRPr="00B7376C" w:rsidRDefault="000E5956" w:rsidP="0085780F">
            <w:pPr>
              <w:pStyle w:val="Paragraphedeliste"/>
              <w:numPr>
                <w:ilvl w:val="0"/>
                <w:numId w:val="3"/>
              </w:numPr>
              <w:spacing w:line="276" w:lineRule="auto"/>
              <w:ind w:left="34"/>
              <w:rPr>
                <w:rFonts w:ascii="Calibri" w:hAnsi="Calibri" w:cs="Arial"/>
                <w:color w:val="CC0099"/>
                <w:sz w:val="22"/>
                <w:szCs w:val="22"/>
              </w:rPr>
            </w:pPr>
            <w:r w:rsidRPr="00B7376C">
              <w:rPr>
                <w:rFonts w:ascii="Calibri" w:hAnsi="Calibri" w:cs="Arial"/>
                <w:color w:val="CC0099"/>
                <w:sz w:val="22"/>
                <w:szCs w:val="22"/>
              </w:rPr>
              <w:t>La réglementation du marketing après-vente</w:t>
            </w:r>
            <w:r w:rsidR="008269FA" w:rsidRPr="00B7376C">
              <w:rPr>
                <w:rFonts w:ascii="Calibri" w:hAnsi="Calibri" w:cs="Arial"/>
                <w:color w:val="CC0099"/>
                <w:sz w:val="22"/>
                <w:szCs w:val="22"/>
              </w:rPr>
              <w:t xml:space="preserve"> (op-in, droit au désabonnement, identification expéditeur, horaires envois des sms</w:t>
            </w:r>
            <w:r w:rsidR="00B7376C">
              <w:rPr>
                <w:rFonts w:ascii="Calibri" w:hAnsi="Calibri" w:cs="Arial"/>
                <w:color w:val="CC0099"/>
                <w:sz w:val="22"/>
                <w:szCs w:val="22"/>
              </w:rPr>
              <w:t>)</w:t>
            </w:r>
          </w:p>
          <w:p w14:paraId="19A1B52B" w14:textId="77777777" w:rsidR="000E5956" w:rsidRPr="008A7348" w:rsidRDefault="000E5956" w:rsidP="0085780F">
            <w:pPr>
              <w:pStyle w:val="Paragraphedeliste"/>
              <w:spacing w:line="276" w:lineRule="auto"/>
              <w:ind w:left="34"/>
              <w:rPr>
                <w:rFonts w:ascii="Calibri" w:hAnsi="Calibri" w:cs="Arial"/>
                <w:b/>
                <w:color w:val="000000"/>
                <w:sz w:val="22"/>
                <w:szCs w:val="22"/>
              </w:rPr>
            </w:pPr>
          </w:p>
          <w:p w14:paraId="6BAFE6EB" w14:textId="77777777" w:rsidR="000E5956" w:rsidRPr="008A7348" w:rsidRDefault="000E5956" w:rsidP="0085780F">
            <w:pPr>
              <w:pStyle w:val="Paragraphedeliste"/>
              <w:spacing w:line="276" w:lineRule="auto"/>
              <w:ind w:left="34"/>
              <w:rPr>
                <w:rFonts w:ascii="Calibri" w:hAnsi="Calibri" w:cs="Arial"/>
                <w:b/>
                <w:color w:val="000000"/>
                <w:sz w:val="22"/>
                <w:szCs w:val="22"/>
              </w:rPr>
            </w:pPr>
            <w:r w:rsidRPr="008A7348">
              <w:rPr>
                <w:rFonts w:ascii="Calibri" w:hAnsi="Calibri" w:cs="Arial"/>
                <w:b/>
                <w:color w:val="000000"/>
                <w:sz w:val="22"/>
                <w:szCs w:val="22"/>
              </w:rPr>
              <w:t>Les modalités de traitement des réclamations</w:t>
            </w:r>
          </w:p>
          <w:p w14:paraId="563ABD55" w14:textId="77777777" w:rsidR="000E5956" w:rsidRPr="008A7348" w:rsidRDefault="000E5956" w:rsidP="001D7CCC">
            <w:pPr>
              <w:pStyle w:val="Paragraphedeliste"/>
              <w:numPr>
                <w:ilvl w:val="0"/>
                <w:numId w:val="3"/>
              </w:numPr>
              <w:spacing w:line="276" w:lineRule="auto"/>
              <w:ind w:left="0"/>
              <w:rPr>
                <w:rFonts w:ascii="Calibri" w:hAnsi="Calibri" w:cs="Arial"/>
                <w:sz w:val="22"/>
                <w:szCs w:val="22"/>
              </w:rPr>
            </w:pPr>
            <w:r w:rsidRPr="008A7348">
              <w:rPr>
                <w:rFonts w:ascii="Calibri" w:hAnsi="Calibri" w:cs="Arial"/>
                <w:sz w:val="22"/>
                <w:szCs w:val="22"/>
              </w:rPr>
              <w:t>Les logiciels de CRM</w:t>
            </w:r>
          </w:p>
        </w:tc>
      </w:tr>
      <w:tr w:rsidR="000E5956" w:rsidRPr="008A7348" w14:paraId="415BA0D3" w14:textId="77777777" w:rsidTr="000E5956">
        <w:trPr>
          <w:trHeight w:val="550"/>
        </w:trPr>
        <w:tc>
          <w:tcPr>
            <w:tcW w:w="5954" w:type="dxa"/>
          </w:tcPr>
          <w:p w14:paraId="53459430" w14:textId="77777777" w:rsidR="000E5956" w:rsidRPr="008A7348" w:rsidRDefault="000E5956" w:rsidP="001D7CCC">
            <w:pPr>
              <w:spacing w:after="0"/>
              <w:ind w:left="34"/>
              <w:rPr>
                <w:rFonts w:cs="Arial"/>
                <w:b/>
                <w:color w:val="000000"/>
              </w:rPr>
            </w:pPr>
            <w:r w:rsidRPr="008A7348">
              <w:rPr>
                <w:rFonts w:cs="Arial"/>
                <w:b/>
                <w:color w:val="000000"/>
              </w:rPr>
              <w:lastRenderedPageBreak/>
              <w:t>Le capital client</w:t>
            </w:r>
          </w:p>
          <w:p w14:paraId="2F52E30F" w14:textId="77777777" w:rsidR="000E5956" w:rsidRPr="008A7348" w:rsidRDefault="000E5956" w:rsidP="001D7CCC">
            <w:pPr>
              <w:spacing w:after="0"/>
              <w:ind w:left="34"/>
              <w:rPr>
                <w:rFonts w:cs="Arial"/>
                <w:color w:val="00B050"/>
              </w:rPr>
            </w:pPr>
          </w:p>
        </w:tc>
        <w:tc>
          <w:tcPr>
            <w:tcW w:w="8364" w:type="dxa"/>
          </w:tcPr>
          <w:p w14:paraId="19DD8653" w14:textId="77777777" w:rsidR="000E5956" w:rsidRPr="008A7348" w:rsidRDefault="000E5956" w:rsidP="00612562">
            <w:pPr>
              <w:spacing w:after="0"/>
              <w:ind w:left="34"/>
              <w:rPr>
                <w:rFonts w:cs="Arial"/>
                <w:b/>
                <w:color w:val="000000"/>
              </w:rPr>
            </w:pPr>
            <w:r w:rsidRPr="008A7348">
              <w:rPr>
                <w:rFonts w:cs="Arial"/>
                <w:b/>
                <w:color w:val="000000"/>
              </w:rPr>
              <w:t>La valeur client</w:t>
            </w:r>
          </w:p>
          <w:p w14:paraId="6276E9C1" w14:textId="77777777" w:rsidR="00891208" w:rsidRDefault="000E5956" w:rsidP="00612562">
            <w:pPr>
              <w:numPr>
                <w:ilvl w:val="0"/>
                <w:numId w:val="9"/>
              </w:numPr>
              <w:spacing w:after="0"/>
              <w:ind w:left="0"/>
              <w:rPr>
                <w:rFonts w:cs="Arial"/>
              </w:rPr>
            </w:pPr>
            <w:r w:rsidRPr="00891208">
              <w:rPr>
                <w:rFonts w:cs="Arial"/>
              </w:rPr>
              <w:t>La notion de valeur client, d’image</w:t>
            </w:r>
          </w:p>
          <w:p w14:paraId="06F27585" w14:textId="77777777" w:rsidR="000E5956" w:rsidRPr="00891208" w:rsidRDefault="000E5956" w:rsidP="00891208">
            <w:pPr>
              <w:numPr>
                <w:ilvl w:val="0"/>
                <w:numId w:val="9"/>
              </w:numPr>
              <w:spacing w:after="0"/>
              <w:ind w:left="0"/>
              <w:rPr>
                <w:rFonts w:cs="Arial"/>
              </w:rPr>
            </w:pPr>
            <w:r w:rsidRPr="00891208">
              <w:rPr>
                <w:rFonts w:cs="Arial"/>
              </w:rPr>
              <w:t>La notion de GRC (gestion de la relation client</w:t>
            </w:r>
            <w:r w:rsidR="00D02624" w:rsidRPr="00891208">
              <w:rPr>
                <w:rFonts w:cs="Arial"/>
              </w:rPr>
              <w:t>)</w:t>
            </w:r>
            <w:r w:rsidRPr="00891208">
              <w:rPr>
                <w:rFonts w:cs="Arial"/>
              </w:rPr>
              <w:t xml:space="preserve"> et souligner l’importance de la démarche pour une unité commerciale</w:t>
            </w:r>
          </w:p>
          <w:p w14:paraId="1E933214" w14:textId="77777777" w:rsidR="000E5956" w:rsidRPr="008A7348" w:rsidRDefault="000E5956" w:rsidP="00612562">
            <w:pPr>
              <w:numPr>
                <w:ilvl w:val="0"/>
                <w:numId w:val="9"/>
              </w:numPr>
              <w:spacing w:after="0"/>
              <w:ind w:left="0"/>
              <w:rPr>
                <w:rFonts w:cs="Arial"/>
              </w:rPr>
            </w:pPr>
          </w:p>
          <w:p w14:paraId="0FF4FD0A" w14:textId="77777777" w:rsidR="000E5956" w:rsidRPr="008A7348" w:rsidRDefault="000E5956" w:rsidP="00612562">
            <w:pPr>
              <w:spacing w:after="0"/>
              <w:ind w:left="34"/>
              <w:rPr>
                <w:rFonts w:cs="Arial"/>
                <w:b/>
                <w:color w:val="000000"/>
              </w:rPr>
            </w:pPr>
            <w:r w:rsidRPr="008A7348">
              <w:rPr>
                <w:rFonts w:cs="Arial"/>
                <w:b/>
                <w:color w:val="000000"/>
              </w:rPr>
              <w:t>Le capital image</w:t>
            </w:r>
          </w:p>
          <w:p w14:paraId="449C1EF5" w14:textId="77777777" w:rsidR="000E5956" w:rsidRPr="008A7348" w:rsidRDefault="000E5956" w:rsidP="00612562">
            <w:pPr>
              <w:spacing w:after="0"/>
              <w:ind w:left="34"/>
              <w:rPr>
                <w:rFonts w:cs="Arial"/>
                <w:b/>
                <w:color w:val="000000"/>
              </w:rPr>
            </w:pPr>
          </w:p>
          <w:p w14:paraId="345C6AEE" w14:textId="77777777" w:rsidR="000E5956" w:rsidRPr="008A7348" w:rsidRDefault="000E5956" w:rsidP="00612562">
            <w:pPr>
              <w:spacing w:after="0"/>
              <w:ind w:left="34"/>
              <w:rPr>
                <w:rFonts w:cs="Arial"/>
                <w:b/>
                <w:color w:val="000000"/>
              </w:rPr>
            </w:pPr>
            <w:r w:rsidRPr="008A7348">
              <w:rPr>
                <w:rFonts w:cs="Arial"/>
                <w:b/>
                <w:color w:val="000000"/>
              </w:rPr>
              <w:t>La notoriété</w:t>
            </w:r>
          </w:p>
          <w:p w14:paraId="587F02B4" w14:textId="77777777" w:rsidR="000E5956" w:rsidRPr="008A7348" w:rsidRDefault="000E5956" w:rsidP="00612562">
            <w:pPr>
              <w:spacing w:after="0"/>
              <w:ind w:left="34"/>
              <w:rPr>
                <w:rFonts w:cs="Arial"/>
                <w:b/>
                <w:color w:val="000000"/>
              </w:rPr>
            </w:pPr>
          </w:p>
          <w:p w14:paraId="1B978FDB" w14:textId="77777777" w:rsidR="000E5956" w:rsidRDefault="000E5956" w:rsidP="00CA02BF">
            <w:pPr>
              <w:spacing w:after="0"/>
              <w:ind w:left="34"/>
              <w:rPr>
                <w:rFonts w:cs="Arial"/>
              </w:rPr>
            </w:pPr>
            <w:r w:rsidRPr="008A7348">
              <w:rPr>
                <w:rFonts w:cs="Arial"/>
                <w:b/>
                <w:color w:val="000000"/>
              </w:rPr>
              <w:t>L’e-réputation</w:t>
            </w:r>
            <w:r>
              <w:rPr>
                <w:rFonts w:cs="Arial"/>
              </w:rPr>
              <w:t xml:space="preserve"> </w:t>
            </w:r>
          </w:p>
          <w:p w14:paraId="20767D95" w14:textId="77777777" w:rsidR="000E5956" w:rsidRDefault="000E5956" w:rsidP="000E5956">
            <w:pPr>
              <w:spacing w:after="0"/>
              <w:rPr>
                <w:rFonts w:cs="Arial"/>
                <w:color w:val="000000"/>
              </w:rPr>
            </w:pPr>
            <w:r>
              <w:rPr>
                <w:rFonts w:cs="Arial"/>
                <w:color w:val="000000"/>
              </w:rPr>
              <w:t>L</w:t>
            </w:r>
            <w:r w:rsidRPr="008A7348">
              <w:rPr>
                <w:rFonts w:cs="Arial"/>
                <w:color w:val="000000"/>
              </w:rPr>
              <w:t>’importance des outils digitaux dans la construction de l’image et de la notoriété d’une entreprise.</w:t>
            </w:r>
          </w:p>
          <w:p w14:paraId="7CBC795E" w14:textId="77777777" w:rsidR="001A2198" w:rsidRPr="001A2198" w:rsidRDefault="001A2198" w:rsidP="000E5956">
            <w:pPr>
              <w:spacing w:after="0"/>
              <w:rPr>
                <w:rFonts w:cs="Arial"/>
                <w:color w:val="000000" w:themeColor="text1"/>
              </w:rPr>
            </w:pPr>
            <w:r w:rsidRPr="001A2198">
              <w:rPr>
                <w:rFonts w:cs="Arial"/>
                <w:color w:val="000000" w:themeColor="text1"/>
              </w:rPr>
              <w:t xml:space="preserve">Les outils et les indicateurs de mesure </w:t>
            </w:r>
          </w:p>
          <w:p w14:paraId="65890CD9" w14:textId="77777777" w:rsidR="00F40D98" w:rsidRPr="001A2198" w:rsidRDefault="001A2198" w:rsidP="000E5956">
            <w:pPr>
              <w:spacing w:after="0"/>
              <w:rPr>
                <w:rFonts w:cs="Arial"/>
                <w:color w:val="000000" w:themeColor="text1"/>
              </w:rPr>
            </w:pPr>
            <w:r w:rsidRPr="001A2198">
              <w:rPr>
                <w:rFonts w:cs="Arial"/>
                <w:color w:val="000000" w:themeColor="text1"/>
              </w:rPr>
              <w:t>Le suivi de l’</w:t>
            </w:r>
            <w:r w:rsidR="00F40D98" w:rsidRPr="001A2198">
              <w:rPr>
                <w:rFonts w:cs="Arial"/>
                <w:color w:val="000000" w:themeColor="text1"/>
              </w:rPr>
              <w:t>e-réputation</w:t>
            </w:r>
          </w:p>
          <w:p w14:paraId="55BECADB" w14:textId="77777777" w:rsidR="000E5956" w:rsidRPr="008A7348" w:rsidRDefault="000E5956" w:rsidP="00612562">
            <w:pPr>
              <w:spacing w:after="0"/>
              <w:ind w:left="34"/>
              <w:rPr>
                <w:rFonts w:cs="Arial"/>
                <w:b/>
                <w:color w:val="000000"/>
              </w:rPr>
            </w:pPr>
            <w:r w:rsidRPr="008A7348">
              <w:rPr>
                <w:rFonts w:cs="Arial"/>
              </w:rPr>
              <w:t>La gestion des situations critiques. </w:t>
            </w:r>
          </w:p>
          <w:p w14:paraId="13790E3A" w14:textId="77777777" w:rsidR="000E5956" w:rsidRPr="008A7348" w:rsidRDefault="000E5956" w:rsidP="00612562">
            <w:pPr>
              <w:spacing w:after="0"/>
              <w:ind w:left="34"/>
              <w:rPr>
                <w:rFonts w:cs="Arial"/>
                <w:b/>
                <w:color w:val="000000"/>
              </w:rPr>
            </w:pPr>
          </w:p>
          <w:p w14:paraId="2623724E" w14:textId="77777777" w:rsidR="000E5956" w:rsidRDefault="000E5956" w:rsidP="00612562">
            <w:pPr>
              <w:numPr>
                <w:ilvl w:val="0"/>
                <w:numId w:val="9"/>
              </w:numPr>
              <w:spacing w:after="0"/>
              <w:ind w:left="0"/>
              <w:rPr>
                <w:rFonts w:cs="Arial"/>
                <w:b/>
              </w:rPr>
            </w:pPr>
            <w:r w:rsidRPr="008A7348">
              <w:rPr>
                <w:rFonts w:cs="Arial"/>
                <w:b/>
                <w:color w:val="000000"/>
              </w:rPr>
              <w:t>L’expérience client</w:t>
            </w:r>
            <w:r w:rsidRPr="008A7348">
              <w:rPr>
                <w:rFonts w:cs="Arial"/>
                <w:b/>
              </w:rPr>
              <w:t xml:space="preserve"> </w:t>
            </w:r>
          </w:p>
          <w:p w14:paraId="38E4ECC2" w14:textId="77777777" w:rsidR="000E5956" w:rsidRPr="008A7348" w:rsidRDefault="000E5956" w:rsidP="00CA02BF">
            <w:pPr>
              <w:numPr>
                <w:ilvl w:val="0"/>
                <w:numId w:val="9"/>
              </w:numPr>
              <w:spacing w:after="0"/>
              <w:ind w:left="0"/>
              <w:rPr>
                <w:rFonts w:cs="Arial"/>
                <w:b/>
              </w:rPr>
            </w:pPr>
            <w:r>
              <w:rPr>
                <w:rFonts w:cs="Arial"/>
              </w:rPr>
              <w:t>La présentation de logiciels de gestion des avis des clients (feed-back management)</w:t>
            </w:r>
          </w:p>
        </w:tc>
      </w:tr>
    </w:tbl>
    <w:p w14:paraId="73358A07" w14:textId="77777777" w:rsidR="00EA3D52" w:rsidRDefault="00EA3D52" w:rsidP="008E14BB">
      <w:pPr>
        <w:spacing w:after="0"/>
        <w:rPr>
          <w:rFonts w:cs="Calibri"/>
        </w:rPr>
      </w:pPr>
    </w:p>
    <w:p w14:paraId="67FD2467" w14:textId="77777777" w:rsidR="001A2198" w:rsidRDefault="001A2198" w:rsidP="008E14BB">
      <w:pPr>
        <w:spacing w:after="0"/>
        <w:rPr>
          <w:rFonts w:cs="Calibri"/>
          <w:color w:val="00B050"/>
        </w:rPr>
      </w:pPr>
    </w:p>
    <w:p w14:paraId="756A78FA" w14:textId="77777777" w:rsidR="000B34CB" w:rsidRPr="008369AC" w:rsidRDefault="000B34CB" w:rsidP="000B34CB">
      <w:pPr>
        <w:spacing w:after="0"/>
        <w:jc w:val="center"/>
        <w:rPr>
          <w:rFonts w:cs="Calibri"/>
          <w:b/>
          <w:sz w:val="28"/>
          <w:szCs w:val="28"/>
        </w:rPr>
      </w:pPr>
      <w:r w:rsidRPr="008369AC">
        <w:rPr>
          <w:rFonts w:cs="Calibri"/>
          <w:b/>
          <w:sz w:val="28"/>
          <w:szCs w:val="28"/>
        </w:rPr>
        <w:lastRenderedPageBreak/>
        <w:t>Descriptions des savoirs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10638"/>
      </w:tblGrid>
      <w:tr w:rsidR="000B34CB" w:rsidRPr="00AC3780" w14:paraId="4D348B3D" w14:textId="77777777" w:rsidTr="00494EF1">
        <w:tc>
          <w:tcPr>
            <w:tcW w:w="14144" w:type="dxa"/>
            <w:gridSpan w:val="2"/>
            <w:shd w:val="clear" w:color="auto" w:fill="auto"/>
          </w:tcPr>
          <w:p w14:paraId="10B00ECD" w14:textId="77777777" w:rsidR="000B34CB" w:rsidRPr="00626E91" w:rsidRDefault="000B34CB" w:rsidP="00494EF1">
            <w:pPr>
              <w:spacing w:after="0" w:line="240" w:lineRule="auto"/>
              <w:jc w:val="center"/>
              <w:rPr>
                <w:rFonts w:cs="Calibri"/>
                <w:b/>
                <w:sz w:val="24"/>
                <w:szCs w:val="24"/>
              </w:rPr>
            </w:pPr>
            <w:r w:rsidRPr="00626E91">
              <w:rPr>
                <w:rFonts w:cs="Calibri"/>
                <w:b/>
                <w:sz w:val="24"/>
                <w:szCs w:val="24"/>
              </w:rPr>
              <w:t>Bloc de compétences 2</w:t>
            </w:r>
          </w:p>
        </w:tc>
      </w:tr>
      <w:tr w:rsidR="000B34CB" w:rsidRPr="00AC3780" w14:paraId="28218C68" w14:textId="77777777" w:rsidTr="00494EF1">
        <w:tc>
          <w:tcPr>
            <w:tcW w:w="14144" w:type="dxa"/>
            <w:gridSpan w:val="2"/>
            <w:shd w:val="clear" w:color="auto" w:fill="auto"/>
          </w:tcPr>
          <w:p w14:paraId="73CE88E9" w14:textId="77777777" w:rsidR="000B34CB" w:rsidRPr="00626E91" w:rsidRDefault="000B34CB" w:rsidP="00494EF1">
            <w:pPr>
              <w:spacing w:after="0" w:line="240" w:lineRule="auto"/>
              <w:jc w:val="center"/>
              <w:rPr>
                <w:rFonts w:cs="Calibri"/>
                <w:sz w:val="24"/>
                <w:szCs w:val="24"/>
              </w:rPr>
            </w:pPr>
            <w:r w:rsidRPr="00626E91">
              <w:rPr>
                <w:rFonts w:cs="Calibri"/>
                <w:sz w:val="24"/>
                <w:szCs w:val="24"/>
              </w:rPr>
              <w:t>Élaborer et adapter en continu l’offre de produits et de services</w:t>
            </w:r>
          </w:p>
          <w:p w14:paraId="5567461C" w14:textId="77777777" w:rsidR="000B34CB" w:rsidRPr="00626E91" w:rsidRDefault="000B34CB" w:rsidP="00494EF1">
            <w:pPr>
              <w:spacing w:after="0" w:line="240" w:lineRule="auto"/>
              <w:jc w:val="center"/>
              <w:rPr>
                <w:rFonts w:cs="Calibri"/>
                <w:sz w:val="24"/>
                <w:szCs w:val="24"/>
              </w:rPr>
            </w:pPr>
            <w:r w:rsidRPr="00626E91">
              <w:rPr>
                <w:rFonts w:cs="Calibri"/>
                <w:sz w:val="24"/>
                <w:szCs w:val="24"/>
              </w:rPr>
              <w:t>Organiser l’espace commercial</w:t>
            </w:r>
          </w:p>
          <w:p w14:paraId="75F97690" w14:textId="77777777" w:rsidR="000B34CB" w:rsidRPr="00626E91" w:rsidRDefault="000B34CB" w:rsidP="00494EF1">
            <w:pPr>
              <w:spacing w:after="0" w:line="240" w:lineRule="auto"/>
              <w:jc w:val="center"/>
              <w:rPr>
                <w:rFonts w:cs="Calibri"/>
                <w:sz w:val="24"/>
                <w:szCs w:val="24"/>
              </w:rPr>
            </w:pPr>
            <w:r w:rsidRPr="00626E91">
              <w:rPr>
                <w:rFonts w:cs="Calibri"/>
                <w:sz w:val="24"/>
                <w:szCs w:val="24"/>
              </w:rPr>
              <w:t>Développer les performances de l’espace commercial</w:t>
            </w:r>
          </w:p>
          <w:p w14:paraId="7E465CB5" w14:textId="77777777" w:rsidR="000B34CB" w:rsidRPr="00626E91" w:rsidRDefault="000B34CB" w:rsidP="00494EF1">
            <w:pPr>
              <w:spacing w:after="0" w:line="240" w:lineRule="auto"/>
              <w:jc w:val="center"/>
              <w:rPr>
                <w:rFonts w:cs="Calibri"/>
                <w:sz w:val="24"/>
                <w:szCs w:val="24"/>
              </w:rPr>
            </w:pPr>
            <w:r w:rsidRPr="00626E91">
              <w:rPr>
                <w:rFonts w:cs="Calibri"/>
                <w:sz w:val="24"/>
                <w:szCs w:val="24"/>
              </w:rPr>
              <w:t>Concevoir et mettre en place la communication commerciale</w:t>
            </w:r>
          </w:p>
          <w:p w14:paraId="6C5F8942" w14:textId="77777777" w:rsidR="000B34CB" w:rsidRPr="00626E91" w:rsidRDefault="000B34CB" w:rsidP="00494EF1">
            <w:pPr>
              <w:spacing w:after="0" w:line="240" w:lineRule="auto"/>
              <w:jc w:val="center"/>
              <w:rPr>
                <w:rFonts w:cs="Calibri"/>
                <w:sz w:val="24"/>
                <w:szCs w:val="24"/>
              </w:rPr>
            </w:pPr>
            <w:r w:rsidRPr="00626E91">
              <w:rPr>
                <w:rFonts w:cs="Calibri"/>
                <w:sz w:val="24"/>
                <w:szCs w:val="24"/>
              </w:rPr>
              <w:t>Évaluer l’action commerciale</w:t>
            </w:r>
          </w:p>
        </w:tc>
      </w:tr>
      <w:tr w:rsidR="000B34CB" w:rsidRPr="00CE6DB9" w14:paraId="7FB99586" w14:textId="77777777" w:rsidTr="00494EF1">
        <w:tc>
          <w:tcPr>
            <w:tcW w:w="3369" w:type="dxa"/>
            <w:shd w:val="clear" w:color="auto" w:fill="auto"/>
          </w:tcPr>
          <w:p w14:paraId="2A144D1F" w14:textId="77777777" w:rsidR="000B34CB" w:rsidRPr="00AC3780" w:rsidRDefault="000B34CB" w:rsidP="00494EF1">
            <w:pPr>
              <w:spacing w:after="0" w:line="240" w:lineRule="auto"/>
              <w:jc w:val="center"/>
              <w:rPr>
                <w:rFonts w:cs="Calibri"/>
                <w:b/>
              </w:rPr>
            </w:pPr>
            <w:r w:rsidRPr="00AC3780">
              <w:rPr>
                <w:rFonts w:cs="Calibri"/>
                <w:b/>
              </w:rPr>
              <w:t>Savoirs associés</w:t>
            </w:r>
          </w:p>
        </w:tc>
        <w:tc>
          <w:tcPr>
            <w:tcW w:w="10775" w:type="dxa"/>
            <w:shd w:val="clear" w:color="auto" w:fill="auto"/>
          </w:tcPr>
          <w:p w14:paraId="67DF61D8" w14:textId="77777777" w:rsidR="000B34CB" w:rsidRPr="00B634ED" w:rsidRDefault="000B34CB" w:rsidP="00494EF1">
            <w:pPr>
              <w:spacing w:after="0" w:line="240" w:lineRule="auto"/>
              <w:jc w:val="center"/>
              <w:rPr>
                <w:rFonts w:cs="Calibri"/>
                <w:b/>
                <w:color w:val="BFBFBF"/>
              </w:rPr>
            </w:pPr>
            <w:r w:rsidRPr="00AC3780">
              <w:rPr>
                <w:rFonts w:cs="Calibri"/>
                <w:b/>
              </w:rPr>
              <w:t>Notions</w:t>
            </w:r>
          </w:p>
        </w:tc>
      </w:tr>
      <w:tr w:rsidR="000B34CB" w:rsidRPr="00CE6DB9" w14:paraId="012FB87F" w14:textId="77777777" w:rsidTr="00494EF1">
        <w:tc>
          <w:tcPr>
            <w:tcW w:w="3369" w:type="dxa"/>
            <w:shd w:val="clear" w:color="auto" w:fill="auto"/>
          </w:tcPr>
          <w:p w14:paraId="0DAA31C4" w14:textId="77777777" w:rsidR="000B34CB" w:rsidRPr="00AC3780" w:rsidRDefault="000B34CB" w:rsidP="00494EF1">
            <w:pPr>
              <w:spacing w:after="0"/>
              <w:rPr>
                <w:rFonts w:cs="Calibri"/>
                <w:b/>
              </w:rPr>
            </w:pPr>
            <w:r w:rsidRPr="00AC3780">
              <w:rPr>
                <w:rFonts w:cs="Calibri"/>
                <w:b/>
              </w:rPr>
              <w:t>Le cadre économique, légal et réglementaire de l’animation et la dynamisation de l’offre</w:t>
            </w:r>
          </w:p>
          <w:p w14:paraId="5543D7E3" w14:textId="77777777" w:rsidR="000B34CB" w:rsidRPr="00AC3780" w:rsidRDefault="000B34CB" w:rsidP="00494EF1">
            <w:pPr>
              <w:spacing w:after="0"/>
              <w:rPr>
                <w:rFonts w:cs="Calibri"/>
                <w:b/>
              </w:rPr>
            </w:pPr>
          </w:p>
          <w:p w14:paraId="26BDF556" w14:textId="77777777" w:rsidR="000B34CB" w:rsidRPr="00AC3780" w:rsidRDefault="000B34CB" w:rsidP="00494EF1">
            <w:pPr>
              <w:spacing w:after="0"/>
              <w:rPr>
                <w:rFonts w:cs="Calibri"/>
                <w:b/>
                <w:color w:val="FF0000"/>
              </w:rPr>
            </w:pPr>
          </w:p>
        </w:tc>
        <w:tc>
          <w:tcPr>
            <w:tcW w:w="10775" w:type="dxa"/>
            <w:shd w:val="clear" w:color="auto" w:fill="auto"/>
          </w:tcPr>
          <w:p w14:paraId="60799DDC" w14:textId="77777777" w:rsidR="000B34CB" w:rsidRPr="008369AC" w:rsidRDefault="000B34CB" w:rsidP="00494EF1">
            <w:pPr>
              <w:spacing w:after="0" w:line="240" w:lineRule="auto"/>
              <w:contextualSpacing/>
              <w:jc w:val="both"/>
              <w:rPr>
                <w:rFonts w:eastAsia="Times New Roman" w:cs="Arial"/>
                <w:i/>
                <w:color w:val="D60093"/>
                <w:lang w:val="x-none" w:eastAsia="fr-FR"/>
              </w:rPr>
            </w:pPr>
            <w:r w:rsidRPr="008369AC">
              <w:rPr>
                <w:rFonts w:eastAsia="Times New Roman" w:cs="Arial"/>
                <w:i/>
                <w:color w:val="D60093"/>
                <w:lang w:eastAsia="fr-FR"/>
              </w:rPr>
              <w:t xml:space="preserve">L’ensemble de ces savoirs devront être abordés dans leur contexte et </w:t>
            </w:r>
            <w:r w:rsidRPr="008369AC">
              <w:rPr>
                <w:rFonts w:cs="Calibri"/>
                <w:i/>
                <w:color w:val="D60093"/>
              </w:rPr>
              <w:t>sont insérés en italique dans les savoirs associés correspondants.</w:t>
            </w:r>
          </w:p>
          <w:p w14:paraId="34A9F4E9" w14:textId="77777777" w:rsidR="000B34CB" w:rsidRPr="009675DC" w:rsidRDefault="000B34CB" w:rsidP="00494EF1">
            <w:pPr>
              <w:spacing w:after="0" w:line="240" w:lineRule="auto"/>
              <w:contextualSpacing/>
              <w:jc w:val="both"/>
              <w:rPr>
                <w:rFonts w:cs="Calibri"/>
                <w:i/>
                <w:color w:val="0070C0"/>
              </w:rPr>
            </w:pPr>
            <w:r w:rsidRPr="009675DC">
              <w:rPr>
                <w:rFonts w:cs="Calibri"/>
                <w:i/>
                <w:color w:val="0070C0"/>
              </w:rPr>
              <w:t>L’unité commerciale dans son environnement économique</w:t>
            </w:r>
          </w:p>
          <w:p w14:paraId="77256F60" w14:textId="77777777" w:rsidR="000B34CB" w:rsidRPr="009675DC" w:rsidRDefault="000B34CB" w:rsidP="00494EF1">
            <w:pPr>
              <w:spacing w:after="0" w:line="240" w:lineRule="auto"/>
              <w:contextualSpacing/>
              <w:jc w:val="both"/>
              <w:rPr>
                <w:rFonts w:cs="Calibri"/>
                <w:i/>
                <w:color w:val="D60093"/>
              </w:rPr>
            </w:pPr>
            <w:r w:rsidRPr="009675DC">
              <w:rPr>
                <w:rFonts w:cs="Calibri"/>
                <w:i/>
                <w:color w:val="D60093"/>
              </w:rPr>
              <w:t>Les dispositions légales et réglementaires en matière de contrats de distribution, d’urbanisme commercial, de négociations commerciales, d’animations commerciales et de communication</w:t>
            </w:r>
          </w:p>
          <w:p w14:paraId="722EA2D1" w14:textId="77777777" w:rsidR="000B34CB" w:rsidRPr="009675DC" w:rsidRDefault="000B34CB" w:rsidP="00494EF1">
            <w:pPr>
              <w:spacing w:after="0" w:line="240" w:lineRule="auto"/>
              <w:contextualSpacing/>
              <w:jc w:val="both"/>
              <w:rPr>
                <w:rFonts w:cs="Calibri"/>
                <w:i/>
                <w:color w:val="D60093"/>
              </w:rPr>
            </w:pPr>
            <w:r w:rsidRPr="009675DC">
              <w:rPr>
                <w:rFonts w:cs="Calibri"/>
                <w:i/>
                <w:color w:val="D60093"/>
              </w:rPr>
              <w:t>La propriété industrielle, le droit des marques</w:t>
            </w:r>
          </w:p>
          <w:p w14:paraId="02293054" w14:textId="77777777" w:rsidR="000B34CB" w:rsidRPr="00B634ED" w:rsidRDefault="000B34CB" w:rsidP="00494EF1">
            <w:pPr>
              <w:spacing w:after="0"/>
              <w:rPr>
                <w:rFonts w:cs="Calibri"/>
                <w:b/>
                <w:color w:val="BFBFBF"/>
              </w:rPr>
            </w:pPr>
            <w:r w:rsidRPr="009675DC">
              <w:rPr>
                <w:rFonts w:cs="Calibri"/>
                <w:i/>
                <w:color w:val="D60093"/>
              </w:rPr>
              <w:t>La réglementation des signes de qualité</w:t>
            </w:r>
          </w:p>
        </w:tc>
      </w:tr>
      <w:tr w:rsidR="000B34CB" w:rsidRPr="00CE6DB9" w14:paraId="3FFBF858" w14:textId="77777777" w:rsidTr="00494EF1">
        <w:tc>
          <w:tcPr>
            <w:tcW w:w="3369" w:type="dxa"/>
            <w:shd w:val="clear" w:color="auto" w:fill="auto"/>
          </w:tcPr>
          <w:p w14:paraId="1EC59989" w14:textId="77777777" w:rsidR="000B34CB" w:rsidRPr="00AC3780" w:rsidRDefault="000B34CB" w:rsidP="00494EF1">
            <w:pPr>
              <w:spacing w:after="0"/>
              <w:rPr>
                <w:rFonts w:cs="Calibri"/>
                <w:b/>
              </w:rPr>
            </w:pPr>
            <w:r w:rsidRPr="00AC3780">
              <w:rPr>
                <w:rFonts w:cs="Calibri"/>
                <w:b/>
              </w:rPr>
              <w:t>Le marché</w:t>
            </w:r>
          </w:p>
          <w:p w14:paraId="1D9FEC7D" w14:textId="77777777" w:rsidR="000B34CB" w:rsidRPr="00AC3780" w:rsidRDefault="000B34CB" w:rsidP="00494EF1">
            <w:pPr>
              <w:spacing w:after="0"/>
              <w:rPr>
                <w:rFonts w:cs="Calibri"/>
                <w:b/>
              </w:rPr>
            </w:pPr>
          </w:p>
          <w:p w14:paraId="1B40484C" w14:textId="77777777" w:rsidR="000B34CB" w:rsidRPr="00AC3780" w:rsidRDefault="000B34CB" w:rsidP="00494EF1">
            <w:pPr>
              <w:spacing w:after="0"/>
              <w:rPr>
                <w:rFonts w:cs="Calibri"/>
                <w:b/>
              </w:rPr>
            </w:pPr>
          </w:p>
        </w:tc>
        <w:tc>
          <w:tcPr>
            <w:tcW w:w="10775" w:type="dxa"/>
            <w:shd w:val="clear" w:color="auto" w:fill="auto"/>
          </w:tcPr>
          <w:p w14:paraId="0C225561" w14:textId="77777777" w:rsidR="000B34CB" w:rsidRPr="009675DC" w:rsidRDefault="000B34CB" w:rsidP="00494EF1">
            <w:pPr>
              <w:spacing w:after="0"/>
              <w:rPr>
                <w:rFonts w:cs="Calibri"/>
                <w:b/>
                <w:color w:val="0070C0"/>
              </w:rPr>
            </w:pPr>
            <w:r w:rsidRPr="009675DC">
              <w:rPr>
                <w:rFonts w:cs="Calibri"/>
                <w:b/>
                <w:color w:val="0070C0"/>
              </w:rPr>
              <w:t>Les différents types de marchés</w:t>
            </w:r>
          </w:p>
          <w:p w14:paraId="1C322A31" w14:textId="77777777" w:rsidR="000B34CB" w:rsidRPr="009675DC" w:rsidRDefault="000B34CB" w:rsidP="00494EF1">
            <w:pPr>
              <w:spacing w:after="0"/>
              <w:rPr>
                <w:rFonts w:cs="Calibri"/>
                <w:b/>
                <w:color w:val="0070C0"/>
              </w:rPr>
            </w:pPr>
          </w:p>
          <w:p w14:paraId="4B89619F" w14:textId="77777777" w:rsidR="000B34CB" w:rsidRPr="009675DC" w:rsidRDefault="000B34CB" w:rsidP="00494EF1">
            <w:pPr>
              <w:spacing w:after="0"/>
              <w:rPr>
                <w:rFonts w:cs="Calibri"/>
                <w:b/>
                <w:color w:val="0070C0"/>
              </w:rPr>
            </w:pPr>
            <w:r w:rsidRPr="009675DC">
              <w:rPr>
                <w:rFonts w:cs="Calibri"/>
                <w:b/>
                <w:color w:val="0070C0"/>
              </w:rPr>
              <w:t>Les composantes du marché</w:t>
            </w:r>
          </w:p>
          <w:p w14:paraId="7072DB5A" w14:textId="77777777" w:rsidR="000B34CB" w:rsidRPr="00407353" w:rsidRDefault="000B34CB" w:rsidP="00494EF1">
            <w:pPr>
              <w:spacing w:after="0"/>
              <w:rPr>
                <w:rFonts w:cs="Calibri"/>
                <w:i/>
                <w:color w:val="000000"/>
              </w:rPr>
            </w:pPr>
            <w:r w:rsidRPr="00407353">
              <w:rPr>
                <w:rFonts w:cs="Calibri"/>
                <w:i/>
                <w:color w:val="000000"/>
              </w:rPr>
              <w:t>La demande sera juste évoquée et étudiée en détail dans le bloc 1</w:t>
            </w:r>
          </w:p>
          <w:p w14:paraId="0155F1E7" w14:textId="77777777" w:rsidR="000B34CB" w:rsidRDefault="000B34CB" w:rsidP="00494EF1">
            <w:pPr>
              <w:spacing w:after="0"/>
              <w:rPr>
                <w:rFonts w:cs="Calibri"/>
                <w:b/>
              </w:rPr>
            </w:pPr>
          </w:p>
          <w:p w14:paraId="592DD51A" w14:textId="77777777" w:rsidR="000B34CB" w:rsidRDefault="000B34CB" w:rsidP="00494EF1">
            <w:pPr>
              <w:spacing w:after="0"/>
              <w:rPr>
                <w:rFonts w:cs="Calibri"/>
                <w:b/>
              </w:rPr>
            </w:pPr>
            <w:r w:rsidRPr="00626E91">
              <w:rPr>
                <w:rFonts w:cs="Calibri"/>
                <w:b/>
              </w:rPr>
              <w:t>Les</w:t>
            </w:r>
            <w:r>
              <w:rPr>
                <w:rFonts w:cs="Calibri"/>
                <w:b/>
              </w:rPr>
              <w:t xml:space="preserve"> composantes </w:t>
            </w:r>
            <w:r w:rsidRPr="009675DC">
              <w:rPr>
                <w:rFonts w:cs="Calibri"/>
                <w:b/>
                <w:color w:val="0070C0"/>
              </w:rPr>
              <w:t>de l’environnement</w:t>
            </w:r>
          </w:p>
          <w:p w14:paraId="4E552A66" w14:textId="77777777" w:rsidR="000B34CB" w:rsidRPr="00626E91" w:rsidRDefault="000B34CB" w:rsidP="00494EF1">
            <w:pPr>
              <w:spacing w:after="0"/>
              <w:rPr>
                <w:rFonts w:cs="Calibri"/>
                <w:b/>
              </w:rPr>
            </w:pPr>
          </w:p>
          <w:p w14:paraId="34487C33" w14:textId="77777777" w:rsidR="000B34CB" w:rsidRPr="00626E91" w:rsidRDefault="000B34CB" w:rsidP="00494EF1">
            <w:pPr>
              <w:spacing w:after="0"/>
              <w:rPr>
                <w:rFonts w:cs="Calibri"/>
                <w:b/>
              </w:rPr>
            </w:pPr>
            <w:r w:rsidRPr="00626E91">
              <w:rPr>
                <w:rFonts w:cs="Calibri"/>
                <w:b/>
              </w:rPr>
              <w:t xml:space="preserve">La </w:t>
            </w:r>
            <w:r w:rsidRPr="009675DC">
              <w:rPr>
                <w:rFonts w:cs="Calibri"/>
                <w:b/>
                <w:color w:val="0070C0"/>
              </w:rPr>
              <w:t xml:space="preserve">structure concurrentielle </w:t>
            </w:r>
            <w:r w:rsidRPr="00626E91">
              <w:rPr>
                <w:rFonts w:cs="Calibri"/>
                <w:b/>
              </w:rPr>
              <w:t>et les caractéristiques de l’offre</w:t>
            </w:r>
            <w:r>
              <w:rPr>
                <w:rFonts w:cs="Calibri"/>
                <w:b/>
              </w:rPr>
              <w:t> :</w:t>
            </w:r>
          </w:p>
          <w:p w14:paraId="5BD16EA4" w14:textId="77777777" w:rsidR="000B34CB" w:rsidRPr="00626E91" w:rsidRDefault="000B34CB" w:rsidP="00494EF1">
            <w:pPr>
              <w:spacing w:after="0"/>
              <w:rPr>
                <w:rFonts w:cs="Calibri"/>
              </w:rPr>
            </w:pPr>
            <w:r>
              <w:rPr>
                <w:rFonts w:cs="Calibri"/>
              </w:rPr>
              <w:t xml:space="preserve">- </w:t>
            </w:r>
            <w:r w:rsidRPr="00626E91">
              <w:rPr>
                <w:rFonts w:cs="Calibri"/>
              </w:rPr>
              <w:t>La typologie des concurrents de l’UC (concurrents directs, indirects, physiques et virtuels)</w:t>
            </w:r>
          </w:p>
          <w:p w14:paraId="0C8E79AD" w14:textId="77777777" w:rsidR="000B34CB" w:rsidRDefault="000B34CB" w:rsidP="00494EF1">
            <w:pPr>
              <w:spacing w:after="0"/>
              <w:rPr>
                <w:rFonts w:cs="Calibri"/>
              </w:rPr>
            </w:pPr>
            <w:r>
              <w:rPr>
                <w:rFonts w:cs="Calibri"/>
              </w:rPr>
              <w:t xml:space="preserve">- </w:t>
            </w:r>
            <w:r w:rsidRPr="00626E91">
              <w:rPr>
                <w:rFonts w:cs="Calibri"/>
              </w:rPr>
              <w:t>Les indicateurs clés de l’analyse de l’offre et la position concurrentielle</w:t>
            </w:r>
          </w:p>
          <w:p w14:paraId="50DE8B22" w14:textId="77777777" w:rsidR="000B34CB" w:rsidRPr="00626E91" w:rsidRDefault="000B34CB" w:rsidP="00494EF1">
            <w:pPr>
              <w:spacing w:after="0"/>
              <w:rPr>
                <w:rFonts w:cs="Calibri"/>
              </w:rPr>
            </w:pPr>
          </w:p>
          <w:p w14:paraId="048C746B" w14:textId="77777777" w:rsidR="000B34CB" w:rsidRPr="00626E91" w:rsidRDefault="000B34CB" w:rsidP="00494EF1">
            <w:pPr>
              <w:spacing w:after="0"/>
              <w:rPr>
                <w:rFonts w:cs="Calibri"/>
                <w:b/>
              </w:rPr>
            </w:pPr>
            <w:r w:rsidRPr="00626E91">
              <w:rPr>
                <w:rFonts w:cs="Calibri"/>
                <w:b/>
              </w:rPr>
              <w:t xml:space="preserve">La </w:t>
            </w:r>
            <w:proofErr w:type="spellStart"/>
            <w:r w:rsidRPr="00626E91">
              <w:rPr>
                <w:rFonts w:cs="Calibri"/>
                <w:b/>
              </w:rPr>
              <w:t>consommaction</w:t>
            </w:r>
            <w:proofErr w:type="spellEnd"/>
          </w:p>
          <w:p w14:paraId="1B5AD0EA" w14:textId="77777777" w:rsidR="000B34CB" w:rsidRPr="00626E91" w:rsidRDefault="000B34CB" w:rsidP="00494EF1">
            <w:pPr>
              <w:spacing w:after="0"/>
              <w:rPr>
                <w:rFonts w:cs="Calibri"/>
              </w:rPr>
            </w:pPr>
            <w:proofErr w:type="spellStart"/>
            <w:r w:rsidRPr="00626E91">
              <w:rPr>
                <w:rFonts w:cs="Calibri"/>
              </w:rPr>
              <w:t>Consommaction</w:t>
            </w:r>
            <w:proofErr w:type="spellEnd"/>
            <w:r w:rsidRPr="00626E91">
              <w:rPr>
                <w:rFonts w:cs="Calibri"/>
              </w:rPr>
              <w:t xml:space="preserve"> (les actions des organisations de consommateurs) et </w:t>
            </w:r>
            <w:proofErr w:type="spellStart"/>
            <w:r w:rsidRPr="00626E91">
              <w:rPr>
                <w:rFonts w:cs="Calibri"/>
              </w:rPr>
              <w:t>consom’actio</w:t>
            </w:r>
            <w:r>
              <w:rPr>
                <w:rFonts w:cs="Calibri"/>
              </w:rPr>
              <w:t>n</w:t>
            </w:r>
            <w:proofErr w:type="spellEnd"/>
            <w:r>
              <w:rPr>
                <w:rFonts w:cs="Calibri"/>
              </w:rPr>
              <w:t xml:space="preserve"> (la consommation responsable)</w:t>
            </w:r>
          </w:p>
          <w:p w14:paraId="060D62A6" w14:textId="77777777" w:rsidR="000B34CB" w:rsidRPr="009675DC" w:rsidRDefault="000B34CB" w:rsidP="00494EF1">
            <w:pPr>
              <w:spacing w:after="0"/>
              <w:rPr>
                <w:rFonts w:cs="Calibri"/>
                <w:b/>
                <w:color w:val="0070C0"/>
              </w:rPr>
            </w:pPr>
          </w:p>
          <w:p w14:paraId="4A8E3247" w14:textId="77777777" w:rsidR="000B34CB" w:rsidRPr="009675DC" w:rsidRDefault="000B34CB" w:rsidP="00494EF1">
            <w:pPr>
              <w:spacing w:after="0"/>
              <w:rPr>
                <w:rFonts w:cs="Calibri"/>
                <w:b/>
                <w:color w:val="0070C0"/>
              </w:rPr>
            </w:pPr>
            <w:r w:rsidRPr="009675DC">
              <w:rPr>
                <w:rFonts w:cs="Calibri"/>
                <w:b/>
                <w:color w:val="0070C0"/>
              </w:rPr>
              <w:t>Les nouvelles orientations des marchés</w:t>
            </w:r>
          </w:p>
          <w:p w14:paraId="4C2B9B91" w14:textId="77777777" w:rsidR="000B34CB" w:rsidRPr="00A242FF" w:rsidRDefault="000B34CB" w:rsidP="00494EF1">
            <w:pPr>
              <w:spacing w:after="0"/>
              <w:rPr>
                <w:rFonts w:cs="Calibri"/>
              </w:rPr>
            </w:pPr>
            <w:r>
              <w:rPr>
                <w:rFonts w:cs="Calibri"/>
              </w:rPr>
              <w:t>Les tendances de consommation</w:t>
            </w:r>
          </w:p>
        </w:tc>
      </w:tr>
      <w:tr w:rsidR="000B34CB" w:rsidRPr="00CE6DB9" w14:paraId="2B78A639" w14:textId="77777777" w:rsidTr="00494EF1">
        <w:tc>
          <w:tcPr>
            <w:tcW w:w="3369" w:type="dxa"/>
            <w:shd w:val="clear" w:color="auto" w:fill="auto"/>
          </w:tcPr>
          <w:p w14:paraId="40732CAC" w14:textId="77777777" w:rsidR="000B34CB" w:rsidRPr="00AC3780" w:rsidRDefault="000B34CB" w:rsidP="00494EF1">
            <w:pPr>
              <w:spacing w:after="0" w:line="240" w:lineRule="auto"/>
              <w:rPr>
                <w:rFonts w:cs="Calibri"/>
                <w:b/>
              </w:rPr>
            </w:pPr>
            <w:r w:rsidRPr="00AC3780">
              <w:rPr>
                <w:rFonts w:cs="Calibri"/>
                <w:b/>
              </w:rPr>
              <w:t>Les unités commerciales et l’</w:t>
            </w:r>
            <w:proofErr w:type="spellStart"/>
            <w:r w:rsidRPr="00AC3780">
              <w:rPr>
                <w:rFonts w:cs="Calibri"/>
                <w:b/>
              </w:rPr>
              <w:t>omnicanalité</w:t>
            </w:r>
            <w:proofErr w:type="spellEnd"/>
          </w:p>
          <w:p w14:paraId="1D85A11F" w14:textId="77777777" w:rsidR="000B34CB" w:rsidRPr="00AC3780" w:rsidRDefault="000B34CB" w:rsidP="00494EF1">
            <w:pPr>
              <w:spacing w:after="0" w:line="240" w:lineRule="auto"/>
              <w:rPr>
                <w:rFonts w:cs="Calibri"/>
                <w:b/>
              </w:rPr>
            </w:pPr>
          </w:p>
          <w:p w14:paraId="2A82E58D" w14:textId="77777777" w:rsidR="000B34CB" w:rsidRPr="00AC3780" w:rsidRDefault="000B34CB" w:rsidP="00494EF1">
            <w:pPr>
              <w:spacing w:after="0" w:line="240" w:lineRule="auto"/>
              <w:rPr>
                <w:rFonts w:cs="Calibri"/>
                <w:b/>
              </w:rPr>
            </w:pPr>
          </w:p>
        </w:tc>
        <w:tc>
          <w:tcPr>
            <w:tcW w:w="10775" w:type="dxa"/>
            <w:shd w:val="clear" w:color="auto" w:fill="auto"/>
          </w:tcPr>
          <w:p w14:paraId="7AAD0A0A" w14:textId="77777777" w:rsidR="000B34CB" w:rsidRPr="00AC3780" w:rsidRDefault="000B34CB" w:rsidP="00494EF1">
            <w:pPr>
              <w:spacing w:after="0" w:line="240" w:lineRule="auto"/>
              <w:rPr>
                <w:color w:val="0070C0"/>
              </w:rPr>
            </w:pPr>
            <w:r w:rsidRPr="00F41E0B">
              <w:rPr>
                <w:b/>
              </w:rPr>
              <w:t>Les unités commerciales physiques</w:t>
            </w:r>
            <w:r w:rsidRPr="00AC3780">
              <w:rPr>
                <w:color w:val="0070C0"/>
              </w:rPr>
              <w:t xml:space="preserve"> : </w:t>
            </w:r>
          </w:p>
          <w:p w14:paraId="5B672E32" w14:textId="77777777" w:rsidR="000B34CB" w:rsidRPr="00AC3780" w:rsidRDefault="000B34CB" w:rsidP="00494EF1">
            <w:pPr>
              <w:spacing w:after="0" w:line="240" w:lineRule="auto"/>
            </w:pPr>
            <w:r w:rsidRPr="00AC3780">
              <w:t>- Les différents types d’UC en fonction de l’activité et du format</w:t>
            </w:r>
            <w:r>
              <w:t>.</w:t>
            </w:r>
          </w:p>
          <w:p w14:paraId="20642B14" w14:textId="77777777" w:rsidR="000B34CB" w:rsidRDefault="000B34CB" w:rsidP="00494EF1">
            <w:pPr>
              <w:spacing w:after="0" w:line="240" w:lineRule="auto"/>
            </w:pPr>
            <w:r w:rsidRPr="00AC3780">
              <w:t>- L’évolution des UC physiques (</w:t>
            </w:r>
            <w:r>
              <w:t>phygitalisation</w:t>
            </w:r>
            <w:r w:rsidRPr="00AC3780">
              <w:t>)</w:t>
            </w:r>
          </w:p>
          <w:p w14:paraId="3DD55BDB" w14:textId="1A4699AE" w:rsidR="000B34CB" w:rsidRPr="00AC3780" w:rsidRDefault="000B34CB" w:rsidP="00494EF1">
            <w:pPr>
              <w:spacing w:after="0" w:line="240" w:lineRule="auto"/>
            </w:pPr>
            <w:r>
              <w:t>- Le commerce expérientiel : flagships, boutiques éphémères (pop-up stores), showrooms connectés, réalité augmentée et virtuelle ….</w:t>
            </w:r>
          </w:p>
          <w:p w14:paraId="3D31C63D" w14:textId="77777777" w:rsidR="000B34CB" w:rsidRDefault="000B34CB" w:rsidP="00494EF1">
            <w:pPr>
              <w:spacing w:after="0" w:line="240" w:lineRule="auto"/>
              <w:rPr>
                <w:b/>
              </w:rPr>
            </w:pPr>
          </w:p>
          <w:p w14:paraId="398ED84B" w14:textId="77777777" w:rsidR="000B34CB" w:rsidRPr="00F41E0B" w:rsidRDefault="000B34CB" w:rsidP="00494EF1">
            <w:pPr>
              <w:spacing w:after="0" w:line="240" w:lineRule="auto"/>
              <w:rPr>
                <w:b/>
              </w:rPr>
            </w:pPr>
            <w:r w:rsidRPr="00F41E0B">
              <w:rPr>
                <w:b/>
              </w:rPr>
              <w:t xml:space="preserve">L’e-commerce : </w:t>
            </w:r>
          </w:p>
          <w:p w14:paraId="380C8FAF" w14:textId="77777777" w:rsidR="000B34CB" w:rsidRDefault="000B34CB" w:rsidP="00494EF1">
            <w:pPr>
              <w:spacing w:after="0" w:line="240" w:lineRule="auto"/>
              <w:rPr>
                <w:color w:val="000000"/>
              </w:rPr>
            </w:pPr>
            <w:r w:rsidRPr="007C357D">
              <w:rPr>
                <w:color w:val="000000"/>
              </w:rPr>
              <w:t>- Les acteurs</w:t>
            </w:r>
            <w:r>
              <w:rPr>
                <w:color w:val="000000"/>
              </w:rPr>
              <w:t xml:space="preserve"> du e-commerce : </w:t>
            </w:r>
            <w:proofErr w:type="spellStart"/>
            <w:r>
              <w:rPr>
                <w:color w:val="000000"/>
              </w:rPr>
              <w:t>Pureplayer</w:t>
            </w:r>
            <w:proofErr w:type="spellEnd"/>
            <w:r>
              <w:rPr>
                <w:color w:val="000000"/>
              </w:rPr>
              <w:t xml:space="preserve">, Click and </w:t>
            </w:r>
            <w:proofErr w:type="spellStart"/>
            <w:r>
              <w:rPr>
                <w:color w:val="000000"/>
              </w:rPr>
              <w:t>mortar</w:t>
            </w:r>
            <w:proofErr w:type="spellEnd"/>
            <w:r>
              <w:rPr>
                <w:color w:val="000000"/>
              </w:rPr>
              <w:t>, Marketplaces …)</w:t>
            </w:r>
          </w:p>
          <w:p w14:paraId="54F10FA1" w14:textId="77777777" w:rsidR="000B34CB" w:rsidRPr="00551FC2" w:rsidRDefault="000B34CB" w:rsidP="00494EF1">
            <w:pPr>
              <w:spacing w:after="0" w:line="240" w:lineRule="auto"/>
              <w:rPr>
                <w:color w:val="000000"/>
              </w:rPr>
            </w:pPr>
            <w:r w:rsidRPr="00551FC2">
              <w:rPr>
                <w:rFonts w:cs="Calibri"/>
                <w:color w:val="000000"/>
              </w:rPr>
              <w:t>- Les applications d’achat et conseil client</w:t>
            </w:r>
          </w:p>
          <w:p w14:paraId="3EF17246" w14:textId="77777777" w:rsidR="000B34CB" w:rsidRPr="00087EF8" w:rsidRDefault="000B34CB" w:rsidP="00494EF1">
            <w:pPr>
              <w:spacing w:after="0" w:line="240" w:lineRule="auto"/>
              <w:rPr>
                <w:color w:val="000000"/>
              </w:rPr>
            </w:pPr>
            <w:r>
              <w:rPr>
                <w:color w:val="000000"/>
              </w:rPr>
              <w:t xml:space="preserve">- Les supports du e-commerce : m-commerce, social </w:t>
            </w:r>
            <w:proofErr w:type="spellStart"/>
            <w:r>
              <w:rPr>
                <w:color w:val="000000"/>
              </w:rPr>
              <w:t>selling</w:t>
            </w:r>
            <w:proofErr w:type="spellEnd"/>
            <w:r>
              <w:rPr>
                <w:color w:val="000000"/>
              </w:rPr>
              <w:t>, c-commerce (commerce conversationnel via les chabots), v-commerce (commerce vocal via les assistants vocaux)</w:t>
            </w:r>
          </w:p>
          <w:p w14:paraId="4FB9B8A7" w14:textId="77777777" w:rsidR="000B34CB" w:rsidRPr="008369AC" w:rsidRDefault="000B34CB" w:rsidP="00494EF1">
            <w:pPr>
              <w:spacing w:after="0" w:line="240" w:lineRule="auto"/>
              <w:rPr>
                <w:i/>
                <w:color w:val="D60093"/>
              </w:rPr>
            </w:pPr>
            <w:r w:rsidRPr="008369AC">
              <w:rPr>
                <w:i/>
                <w:color w:val="D60093"/>
              </w:rPr>
              <w:t>- La réglementation en matière d’e-commerce : protection des données personnelles, RGPD, CNIL, délai de rétractation...</w:t>
            </w:r>
          </w:p>
          <w:p w14:paraId="22EDB49D" w14:textId="77777777" w:rsidR="000B34CB" w:rsidRPr="00AC3780" w:rsidRDefault="000B34CB" w:rsidP="00494EF1">
            <w:pPr>
              <w:spacing w:after="0" w:line="240" w:lineRule="auto"/>
            </w:pPr>
          </w:p>
          <w:p w14:paraId="1436ABA0" w14:textId="77777777" w:rsidR="000B34CB" w:rsidRPr="00F41E0B" w:rsidRDefault="000B34CB" w:rsidP="00494EF1">
            <w:pPr>
              <w:spacing w:after="0" w:line="240" w:lineRule="auto"/>
              <w:rPr>
                <w:b/>
              </w:rPr>
            </w:pPr>
            <w:r w:rsidRPr="00F41E0B">
              <w:rPr>
                <w:b/>
              </w:rPr>
              <w:t>Les circuits et les canaux de distribution</w:t>
            </w:r>
          </w:p>
          <w:p w14:paraId="1062E2A2" w14:textId="77777777" w:rsidR="000B34CB" w:rsidRDefault="000B34CB" w:rsidP="00494EF1">
            <w:pPr>
              <w:spacing w:after="0" w:line="240" w:lineRule="auto"/>
              <w:rPr>
                <w:rFonts w:cs="Calibri"/>
                <w:b/>
                <w:lang w:val="en-US"/>
              </w:rPr>
            </w:pPr>
            <w:proofErr w:type="spellStart"/>
            <w:r w:rsidRPr="00273F49">
              <w:rPr>
                <w:rFonts w:cs="Calibri"/>
                <w:b/>
                <w:lang w:val="en-US"/>
              </w:rPr>
              <w:t>Multicanal</w:t>
            </w:r>
            <w:proofErr w:type="spellEnd"/>
            <w:r w:rsidRPr="00273F49">
              <w:rPr>
                <w:rFonts w:cs="Calibri"/>
                <w:b/>
                <w:lang w:val="en-US"/>
              </w:rPr>
              <w:t xml:space="preserve">, cross canal, </w:t>
            </w:r>
            <w:proofErr w:type="spellStart"/>
            <w:r w:rsidRPr="00273F49">
              <w:rPr>
                <w:rFonts w:cs="Calibri"/>
                <w:b/>
                <w:lang w:val="en-US"/>
              </w:rPr>
              <w:t>omnicanal</w:t>
            </w:r>
            <w:proofErr w:type="spellEnd"/>
            <w:proofErr w:type="gramStart"/>
            <w:r w:rsidRPr="00273F49">
              <w:rPr>
                <w:rFonts w:cs="Calibri"/>
                <w:b/>
                <w:lang w:val="en-US"/>
              </w:rPr>
              <w:t>… :</w:t>
            </w:r>
            <w:proofErr w:type="gramEnd"/>
            <w:r w:rsidRPr="00273F49">
              <w:rPr>
                <w:rFonts w:cs="Calibri"/>
                <w:b/>
                <w:lang w:val="en-US"/>
              </w:rPr>
              <w:t xml:space="preserve"> </w:t>
            </w:r>
          </w:p>
          <w:p w14:paraId="3C9D1B99" w14:textId="77777777" w:rsidR="000B34CB" w:rsidRPr="00273F49" w:rsidRDefault="000B34CB" w:rsidP="00494EF1">
            <w:pPr>
              <w:spacing w:after="0" w:line="240" w:lineRule="auto"/>
              <w:rPr>
                <w:b/>
                <w:lang w:val="en-US"/>
              </w:rPr>
            </w:pPr>
            <w:r>
              <w:rPr>
                <w:rFonts w:cs="Calibri"/>
                <w:lang w:val="en-US"/>
              </w:rPr>
              <w:t>S</w:t>
            </w:r>
            <w:r w:rsidRPr="00273F49">
              <w:rPr>
                <w:rFonts w:cs="Calibri"/>
                <w:lang w:val="en-US"/>
              </w:rPr>
              <w:t xml:space="preserve">tore to </w:t>
            </w:r>
            <w:proofErr w:type="gramStart"/>
            <w:r w:rsidRPr="00273F49">
              <w:rPr>
                <w:rFonts w:cs="Calibri"/>
                <w:lang w:val="en-US"/>
              </w:rPr>
              <w:t>web</w:t>
            </w:r>
            <w:r>
              <w:rPr>
                <w:rFonts w:cs="Calibri"/>
                <w:lang w:val="en-US"/>
              </w:rPr>
              <w:t xml:space="preserve"> </w:t>
            </w:r>
            <w:r w:rsidRPr="00273F49">
              <w:rPr>
                <w:rFonts w:cs="Calibri"/>
                <w:lang w:val="en-US"/>
              </w:rPr>
              <w:t>,</w:t>
            </w:r>
            <w:proofErr w:type="gramEnd"/>
            <w:r w:rsidRPr="00273F49">
              <w:rPr>
                <w:rFonts w:cs="Calibri"/>
                <w:lang w:val="en-US"/>
              </w:rPr>
              <w:t xml:space="preserve"> web to store </w:t>
            </w:r>
            <w:r>
              <w:rPr>
                <w:rFonts w:cs="Calibri"/>
                <w:lang w:val="en-US"/>
              </w:rPr>
              <w:t>(click and collect, e-reservation), drive to store ….</w:t>
            </w:r>
          </w:p>
          <w:p w14:paraId="72387FA4" w14:textId="77777777" w:rsidR="000B34CB" w:rsidRPr="00273F49" w:rsidRDefault="000B34CB" w:rsidP="00494EF1">
            <w:pPr>
              <w:spacing w:after="0" w:line="240" w:lineRule="auto"/>
              <w:rPr>
                <w:lang w:val="en-US"/>
              </w:rPr>
            </w:pPr>
          </w:p>
          <w:p w14:paraId="7C85A638" w14:textId="77777777" w:rsidR="000B34CB" w:rsidRPr="00F41E0B" w:rsidRDefault="000B34CB" w:rsidP="00494EF1">
            <w:pPr>
              <w:spacing w:after="0" w:line="240" w:lineRule="auto"/>
              <w:rPr>
                <w:b/>
              </w:rPr>
            </w:pPr>
            <w:r w:rsidRPr="00F41E0B">
              <w:rPr>
                <w:b/>
              </w:rPr>
              <w:t>Les formes de commerce</w:t>
            </w:r>
          </w:p>
          <w:p w14:paraId="2E46A50F" w14:textId="77777777" w:rsidR="000B34CB" w:rsidRPr="00F41E0B" w:rsidRDefault="000B34CB" w:rsidP="00494EF1">
            <w:pPr>
              <w:spacing w:after="0" w:line="240" w:lineRule="auto"/>
              <w:rPr>
                <w:rFonts w:cs="Calibri"/>
                <w:b/>
              </w:rPr>
            </w:pPr>
            <w:r w:rsidRPr="00F41E0B">
              <w:rPr>
                <w:rFonts w:cs="Calibri"/>
                <w:b/>
              </w:rPr>
              <w:t>Les réseaux d’unités commerciales</w:t>
            </w:r>
          </w:p>
          <w:p w14:paraId="67370DE2" w14:textId="77777777" w:rsidR="000B34CB" w:rsidRPr="00AC3780" w:rsidRDefault="000B34CB" w:rsidP="00494EF1">
            <w:pPr>
              <w:spacing w:after="0" w:line="240" w:lineRule="auto"/>
            </w:pPr>
          </w:p>
          <w:p w14:paraId="461C8459" w14:textId="77777777" w:rsidR="000B34CB" w:rsidRPr="00F41E0B" w:rsidRDefault="000B34CB" w:rsidP="00494EF1">
            <w:pPr>
              <w:spacing w:after="0" w:line="240" w:lineRule="auto"/>
              <w:rPr>
                <w:b/>
              </w:rPr>
            </w:pPr>
            <w:r w:rsidRPr="00F41E0B">
              <w:rPr>
                <w:b/>
              </w:rPr>
              <w:t>Les stratégies de distribution</w:t>
            </w:r>
          </w:p>
          <w:p w14:paraId="4F0E1DBA" w14:textId="77777777" w:rsidR="000B34CB" w:rsidRPr="00F41E0B" w:rsidRDefault="000B34CB" w:rsidP="00494EF1">
            <w:pPr>
              <w:spacing w:after="0" w:line="240" w:lineRule="auto"/>
              <w:rPr>
                <w:b/>
              </w:rPr>
            </w:pPr>
          </w:p>
          <w:p w14:paraId="6B9748C7" w14:textId="77777777" w:rsidR="000B34CB" w:rsidRPr="00F41E0B" w:rsidRDefault="000B34CB" w:rsidP="00494EF1">
            <w:pPr>
              <w:spacing w:after="0" w:line="240" w:lineRule="auto"/>
              <w:rPr>
                <w:b/>
              </w:rPr>
            </w:pPr>
            <w:r w:rsidRPr="00F41E0B">
              <w:rPr>
                <w:b/>
              </w:rPr>
              <w:t>La politique commerciale des enseignes</w:t>
            </w:r>
            <w:r>
              <w:rPr>
                <w:b/>
              </w:rPr>
              <w:t> :</w:t>
            </w:r>
          </w:p>
          <w:p w14:paraId="25CFDCD3" w14:textId="77777777" w:rsidR="000B34CB" w:rsidRPr="00AC3780" w:rsidRDefault="000B34CB" w:rsidP="00494EF1">
            <w:pPr>
              <w:spacing w:after="0" w:line="240" w:lineRule="auto"/>
            </w:pPr>
            <w:r>
              <w:t>Le plan de marchéage (Marketing mix)</w:t>
            </w:r>
          </w:p>
          <w:p w14:paraId="32575F19" w14:textId="77777777" w:rsidR="000B34CB" w:rsidRPr="00AC3780" w:rsidRDefault="000B34CB" w:rsidP="00494EF1">
            <w:pPr>
              <w:spacing w:after="0" w:line="240" w:lineRule="auto"/>
            </w:pPr>
          </w:p>
          <w:p w14:paraId="5CE810C1" w14:textId="77777777" w:rsidR="000B34CB" w:rsidRPr="00C3109A" w:rsidRDefault="000B34CB" w:rsidP="00494EF1">
            <w:pPr>
              <w:spacing w:after="0" w:line="240" w:lineRule="auto"/>
              <w:rPr>
                <w:b/>
              </w:rPr>
            </w:pPr>
            <w:r w:rsidRPr="00C3109A">
              <w:rPr>
                <w:b/>
              </w:rPr>
              <w:t>La logistique de distribution</w:t>
            </w:r>
          </w:p>
          <w:p w14:paraId="4DD7B1AD" w14:textId="77777777" w:rsidR="000B34CB" w:rsidRPr="00C3109A" w:rsidRDefault="000B34CB" w:rsidP="00494EF1">
            <w:pPr>
              <w:spacing w:after="0" w:line="240" w:lineRule="auto"/>
            </w:pPr>
          </w:p>
          <w:p w14:paraId="66C81376" w14:textId="77777777" w:rsidR="000B34CB" w:rsidRPr="00C3109A" w:rsidRDefault="000B34CB" w:rsidP="00494EF1">
            <w:pPr>
              <w:spacing w:after="0" w:line="240" w:lineRule="auto"/>
              <w:rPr>
                <w:rFonts w:cs="Calibri"/>
                <w:b/>
              </w:rPr>
            </w:pPr>
            <w:r w:rsidRPr="00C3109A">
              <w:rPr>
                <w:rFonts w:cs="Calibri"/>
                <w:b/>
              </w:rPr>
              <w:t>Les contrats de distribution</w:t>
            </w:r>
          </w:p>
          <w:p w14:paraId="249F7900" w14:textId="77777777" w:rsidR="000B34CB" w:rsidRPr="008369AC" w:rsidRDefault="000B34CB" w:rsidP="00494EF1">
            <w:pPr>
              <w:spacing w:after="0" w:line="240" w:lineRule="auto"/>
              <w:rPr>
                <w:i/>
                <w:color w:val="D60093"/>
              </w:rPr>
            </w:pPr>
            <w:r w:rsidRPr="008369AC">
              <w:rPr>
                <w:i/>
                <w:color w:val="D60093"/>
              </w:rPr>
              <w:t>Dispositions réglementaires en matière de contrat de distribution (contrat de franchise, de concession …)</w:t>
            </w:r>
          </w:p>
          <w:p w14:paraId="14F1B464" w14:textId="77777777" w:rsidR="000B34CB" w:rsidRPr="00C3109A" w:rsidRDefault="000B34CB" w:rsidP="00494EF1">
            <w:pPr>
              <w:spacing w:after="0" w:line="240" w:lineRule="auto"/>
              <w:rPr>
                <w:b/>
              </w:rPr>
            </w:pPr>
            <w:r w:rsidRPr="00C3109A">
              <w:rPr>
                <w:b/>
              </w:rPr>
              <w:t>L’urbanisme commercial</w:t>
            </w:r>
          </w:p>
          <w:p w14:paraId="17A22D6F" w14:textId="77777777" w:rsidR="000B34CB" w:rsidRPr="00C3109A" w:rsidRDefault="000B34CB" w:rsidP="00494EF1">
            <w:pPr>
              <w:spacing w:after="0" w:line="240" w:lineRule="auto"/>
            </w:pPr>
            <w:r w:rsidRPr="00C3109A">
              <w:t>- Les institutions</w:t>
            </w:r>
            <w:r>
              <w:t xml:space="preserve"> de l’urbanisme commercial</w:t>
            </w:r>
          </w:p>
          <w:p w14:paraId="43B5AB47" w14:textId="77777777" w:rsidR="000B34CB" w:rsidRPr="008369AC" w:rsidRDefault="000B34CB" w:rsidP="00494EF1">
            <w:pPr>
              <w:spacing w:after="0" w:line="240" w:lineRule="auto"/>
              <w:rPr>
                <w:i/>
                <w:color w:val="D60093"/>
              </w:rPr>
            </w:pPr>
            <w:r w:rsidRPr="008369AC">
              <w:rPr>
                <w:i/>
                <w:color w:val="D60093"/>
              </w:rPr>
              <w:t>- La réglementation en matière d’urbanisme commercial et notamment la loi ELAN</w:t>
            </w:r>
          </w:p>
        </w:tc>
      </w:tr>
      <w:tr w:rsidR="000B34CB" w:rsidRPr="00CE6DB9" w14:paraId="181BEFC9" w14:textId="77777777" w:rsidTr="00494EF1">
        <w:tc>
          <w:tcPr>
            <w:tcW w:w="3369" w:type="dxa"/>
            <w:shd w:val="clear" w:color="auto" w:fill="auto"/>
          </w:tcPr>
          <w:p w14:paraId="4E8DB3F8" w14:textId="77777777" w:rsidR="000B34CB" w:rsidRPr="00AC3780" w:rsidRDefault="000B34CB" w:rsidP="00494EF1">
            <w:pPr>
              <w:spacing w:after="0" w:line="240" w:lineRule="auto"/>
              <w:rPr>
                <w:rFonts w:cs="Calibri"/>
                <w:b/>
              </w:rPr>
            </w:pPr>
            <w:r w:rsidRPr="00AC3780">
              <w:rPr>
                <w:rFonts w:cs="Calibri"/>
                <w:b/>
              </w:rPr>
              <w:lastRenderedPageBreak/>
              <w:t>L’offre de produits et services</w:t>
            </w:r>
          </w:p>
          <w:p w14:paraId="2D3E1413" w14:textId="77777777" w:rsidR="000B34CB" w:rsidRPr="00AC3780" w:rsidRDefault="000B34CB" w:rsidP="00494EF1">
            <w:pPr>
              <w:spacing w:after="0" w:line="240" w:lineRule="auto"/>
              <w:rPr>
                <w:rFonts w:cs="Calibri"/>
                <w:b/>
              </w:rPr>
            </w:pPr>
          </w:p>
        </w:tc>
        <w:tc>
          <w:tcPr>
            <w:tcW w:w="10775" w:type="dxa"/>
            <w:shd w:val="clear" w:color="auto" w:fill="auto"/>
          </w:tcPr>
          <w:p w14:paraId="4194F4B8" w14:textId="77777777" w:rsidR="000B34CB" w:rsidRPr="00C3109A" w:rsidRDefault="000B34CB" w:rsidP="00494EF1">
            <w:pPr>
              <w:spacing w:after="0" w:line="240" w:lineRule="auto"/>
              <w:rPr>
                <w:rFonts w:cs="Calibri"/>
                <w:b/>
              </w:rPr>
            </w:pPr>
            <w:r w:rsidRPr="00C3109A">
              <w:rPr>
                <w:rFonts w:cs="Calibri"/>
                <w:b/>
              </w:rPr>
              <w:t>Le positionnement</w:t>
            </w:r>
          </w:p>
          <w:p w14:paraId="0A7D0C31" w14:textId="77777777" w:rsidR="000B34CB" w:rsidRPr="00C3109A" w:rsidRDefault="000B34CB" w:rsidP="00494EF1">
            <w:pPr>
              <w:spacing w:after="0" w:line="240" w:lineRule="auto"/>
            </w:pPr>
            <w:r w:rsidRPr="00C3109A">
              <w:t>Le positionnement d’enseigne et le positionnement de produit.</w:t>
            </w:r>
          </w:p>
          <w:p w14:paraId="7A496301" w14:textId="77777777" w:rsidR="000B34CB" w:rsidRPr="00C3109A" w:rsidRDefault="000B34CB" w:rsidP="00494EF1">
            <w:pPr>
              <w:spacing w:after="0" w:line="240" w:lineRule="auto"/>
            </w:pPr>
          </w:p>
          <w:p w14:paraId="6C6807D6" w14:textId="77777777" w:rsidR="000B34CB" w:rsidRPr="00C3109A" w:rsidRDefault="000B34CB" w:rsidP="00494EF1">
            <w:pPr>
              <w:spacing w:after="0" w:line="240" w:lineRule="auto"/>
              <w:rPr>
                <w:b/>
              </w:rPr>
            </w:pPr>
            <w:r w:rsidRPr="00C3109A">
              <w:rPr>
                <w:b/>
              </w:rPr>
              <w:t>Les produits et services</w:t>
            </w:r>
          </w:p>
          <w:p w14:paraId="6E017AED" w14:textId="77777777" w:rsidR="000B34CB" w:rsidRPr="00C3109A" w:rsidRDefault="000B34CB" w:rsidP="00494EF1">
            <w:pPr>
              <w:spacing w:after="0" w:line="240" w:lineRule="auto"/>
            </w:pPr>
            <w:r w:rsidRPr="00C3109A">
              <w:t>Le cycle de vie des produits et des services</w:t>
            </w:r>
          </w:p>
          <w:p w14:paraId="49D5BC60" w14:textId="77777777" w:rsidR="000B34CB" w:rsidRPr="00C3109A" w:rsidRDefault="000B34CB" w:rsidP="00494EF1">
            <w:pPr>
              <w:spacing w:after="0" w:line="240" w:lineRule="auto"/>
            </w:pPr>
            <w:r w:rsidRPr="00C3109A">
              <w:t>La politique de produit</w:t>
            </w:r>
          </w:p>
          <w:p w14:paraId="27A88678" w14:textId="77777777" w:rsidR="000B34CB" w:rsidRPr="00C3109A" w:rsidRDefault="000B34CB" w:rsidP="00494EF1">
            <w:pPr>
              <w:spacing w:after="0" w:line="240" w:lineRule="auto"/>
            </w:pPr>
          </w:p>
          <w:p w14:paraId="073B6A09" w14:textId="77777777" w:rsidR="000B34CB" w:rsidRPr="00C3109A" w:rsidRDefault="000B34CB" w:rsidP="00494EF1">
            <w:pPr>
              <w:spacing w:after="0" w:line="240" w:lineRule="auto"/>
              <w:rPr>
                <w:b/>
              </w:rPr>
            </w:pPr>
            <w:r w:rsidRPr="00C3109A">
              <w:rPr>
                <w:b/>
              </w:rPr>
              <w:t>Les notions d’assortiment et de gamme</w:t>
            </w:r>
          </w:p>
          <w:p w14:paraId="0D5F96D7" w14:textId="77777777" w:rsidR="000B34CB" w:rsidRPr="00C3109A" w:rsidRDefault="000B34CB" w:rsidP="00494EF1">
            <w:pPr>
              <w:spacing w:after="0" w:line="240" w:lineRule="auto"/>
            </w:pPr>
            <w:r w:rsidRPr="00C3109A">
              <w:t>La caractérisation de l’assortiment et de la gamme</w:t>
            </w:r>
          </w:p>
          <w:p w14:paraId="272A7918" w14:textId="77777777" w:rsidR="000B34CB" w:rsidRDefault="000B34CB" w:rsidP="00494EF1">
            <w:pPr>
              <w:spacing w:after="0" w:line="240" w:lineRule="auto"/>
            </w:pPr>
            <w:r>
              <w:t>Les incidences de l’</w:t>
            </w:r>
            <w:proofErr w:type="spellStart"/>
            <w:r>
              <w:t>omnicanalité</w:t>
            </w:r>
            <w:proofErr w:type="spellEnd"/>
            <w:r>
              <w:t xml:space="preserve"> sur l’assortiment : contraction de l’offre physique et extension de l’offre digitale</w:t>
            </w:r>
          </w:p>
          <w:p w14:paraId="23745008" w14:textId="77777777" w:rsidR="000B34CB" w:rsidRDefault="000B34CB" w:rsidP="00494EF1">
            <w:pPr>
              <w:spacing w:after="0" w:line="240" w:lineRule="auto"/>
            </w:pPr>
            <w:r>
              <w:t xml:space="preserve">L’adaptation de l’assortiment au contexte local et à la saisonnalité </w:t>
            </w:r>
          </w:p>
          <w:p w14:paraId="402F133B" w14:textId="77777777" w:rsidR="000B34CB" w:rsidRPr="00C3109A" w:rsidRDefault="000B34CB" w:rsidP="00494EF1">
            <w:pPr>
              <w:spacing w:after="0" w:line="240" w:lineRule="auto"/>
            </w:pPr>
            <w:r w:rsidRPr="00C3109A">
              <w:t>La gestion de l’offre de produits et de services</w:t>
            </w:r>
          </w:p>
          <w:p w14:paraId="69018D7B" w14:textId="77777777" w:rsidR="000B34CB" w:rsidRPr="00C3109A" w:rsidRDefault="000B34CB" w:rsidP="00494EF1">
            <w:pPr>
              <w:spacing w:after="0" w:line="240" w:lineRule="auto"/>
            </w:pPr>
          </w:p>
          <w:p w14:paraId="7B9D99B9" w14:textId="77777777" w:rsidR="000B34CB" w:rsidRPr="00C3109A" w:rsidRDefault="000B34CB" w:rsidP="00494EF1">
            <w:pPr>
              <w:spacing w:after="0" w:line="240" w:lineRule="auto"/>
            </w:pPr>
            <w:r w:rsidRPr="00C3109A">
              <w:rPr>
                <w:b/>
              </w:rPr>
              <w:t>L’emballage et la stylique</w:t>
            </w:r>
            <w:r w:rsidRPr="00C3109A">
              <w:t xml:space="preserve"> : </w:t>
            </w:r>
          </w:p>
          <w:p w14:paraId="681F3994" w14:textId="77777777" w:rsidR="000B34CB" w:rsidRPr="00C3109A" w:rsidRDefault="000B34CB" w:rsidP="00494EF1">
            <w:pPr>
              <w:spacing w:after="0" w:line="240" w:lineRule="auto"/>
            </w:pPr>
            <w:r w:rsidRPr="00C3109A">
              <w:t>Les fonctions techniques, commerciales et mercatiques de l’emballage</w:t>
            </w:r>
          </w:p>
          <w:p w14:paraId="10F0C7D9" w14:textId="77777777" w:rsidR="000B34CB" w:rsidRPr="00C3109A" w:rsidRDefault="000B34CB" w:rsidP="00494EF1">
            <w:pPr>
              <w:spacing w:after="0" w:line="240" w:lineRule="auto"/>
            </w:pPr>
            <w:r w:rsidRPr="00C3109A">
              <w:t>Les aspects financiers et environnementaux.</w:t>
            </w:r>
          </w:p>
          <w:p w14:paraId="002F8496" w14:textId="77777777" w:rsidR="000B34CB" w:rsidRPr="00C3109A" w:rsidRDefault="000B34CB" w:rsidP="00494EF1">
            <w:pPr>
              <w:spacing w:after="0" w:line="240" w:lineRule="auto"/>
            </w:pPr>
            <w:r w:rsidRPr="00C3109A">
              <w:t>La stylique de produit et la stylique d’emballage</w:t>
            </w:r>
          </w:p>
          <w:p w14:paraId="39FE1D2C" w14:textId="77777777" w:rsidR="000B34CB" w:rsidRPr="00C3109A" w:rsidRDefault="000B34CB" w:rsidP="00494EF1">
            <w:pPr>
              <w:spacing w:after="0" w:line="240" w:lineRule="auto"/>
            </w:pPr>
          </w:p>
          <w:p w14:paraId="64B2010B" w14:textId="77777777" w:rsidR="000B34CB" w:rsidRPr="00C3109A" w:rsidRDefault="000B34CB" w:rsidP="00494EF1">
            <w:pPr>
              <w:spacing w:after="0" w:line="240" w:lineRule="auto"/>
              <w:rPr>
                <w:b/>
              </w:rPr>
            </w:pPr>
            <w:r w:rsidRPr="00C3109A">
              <w:rPr>
                <w:b/>
              </w:rPr>
              <w:t>La marque et le droit des marques</w:t>
            </w:r>
          </w:p>
          <w:p w14:paraId="1BDEE5FB" w14:textId="77777777" w:rsidR="000B34CB" w:rsidRPr="00C3109A" w:rsidRDefault="000B34CB" w:rsidP="00494EF1">
            <w:pPr>
              <w:spacing w:after="0" w:line="240" w:lineRule="auto"/>
            </w:pPr>
            <w:r w:rsidRPr="00C3109A">
              <w:t>Les marques nationales et marques de distribution</w:t>
            </w:r>
          </w:p>
          <w:p w14:paraId="51297FA3" w14:textId="77777777" w:rsidR="000B34CB" w:rsidRPr="00C3109A" w:rsidRDefault="000B34CB" w:rsidP="00494EF1">
            <w:pPr>
              <w:spacing w:after="0" w:line="240" w:lineRule="auto"/>
            </w:pPr>
            <w:r w:rsidRPr="00C3109A">
              <w:t xml:space="preserve">Les qualités d’une marque, les fonctions de la marque, les stratégies de marque. </w:t>
            </w:r>
          </w:p>
          <w:p w14:paraId="4012658F" w14:textId="77777777" w:rsidR="000B34CB" w:rsidRPr="005B6CCD" w:rsidRDefault="000B34CB" w:rsidP="00494EF1">
            <w:pPr>
              <w:spacing w:after="0" w:line="240" w:lineRule="auto"/>
              <w:rPr>
                <w:i/>
                <w:color w:val="D60093"/>
              </w:rPr>
            </w:pPr>
            <w:r w:rsidRPr="005B6CCD">
              <w:rPr>
                <w:i/>
                <w:color w:val="D60093"/>
              </w:rPr>
              <w:t>La propriété industrielle et Le droit des marques : la réglementation en matière de création et de protection de la marque</w:t>
            </w:r>
          </w:p>
          <w:p w14:paraId="1CCEF485" w14:textId="77777777" w:rsidR="000B34CB" w:rsidRPr="00C3109A" w:rsidRDefault="000B34CB" w:rsidP="00494EF1">
            <w:pPr>
              <w:spacing w:after="0" w:line="240" w:lineRule="auto"/>
            </w:pPr>
          </w:p>
          <w:p w14:paraId="4A87566D" w14:textId="77777777" w:rsidR="000B34CB" w:rsidRPr="00F91B0C" w:rsidRDefault="000B34CB" w:rsidP="00494EF1">
            <w:pPr>
              <w:spacing w:after="0" w:line="240" w:lineRule="auto"/>
              <w:rPr>
                <w:rFonts w:cs="Calibri"/>
                <w:b/>
              </w:rPr>
            </w:pPr>
            <w:r w:rsidRPr="00C3109A">
              <w:rPr>
                <w:rFonts w:cs="Calibri"/>
                <w:b/>
              </w:rPr>
              <w:t>La dé</w:t>
            </w:r>
            <w:r>
              <w:rPr>
                <w:rFonts w:cs="Calibri"/>
                <w:b/>
              </w:rPr>
              <w:t>marche et les signes de qualité</w:t>
            </w:r>
          </w:p>
          <w:p w14:paraId="450B71B5" w14:textId="77777777" w:rsidR="000B34CB" w:rsidRPr="005B6CCD" w:rsidRDefault="000B34CB" w:rsidP="00494EF1">
            <w:pPr>
              <w:spacing w:after="0" w:line="240" w:lineRule="auto"/>
              <w:rPr>
                <w:i/>
                <w:color w:val="D60093"/>
              </w:rPr>
            </w:pPr>
            <w:r w:rsidRPr="005B6CCD">
              <w:rPr>
                <w:i/>
                <w:color w:val="D60093"/>
              </w:rPr>
              <w:t>La réglementation des signes de qualité</w:t>
            </w:r>
          </w:p>
          <w:p w14:paraId="63160BFC" w14:textId="77777777" w:rsidR="000B34CB" w:rsidRPr="00C3109A" w:rsidRDefault="000B34CB" w:rsidP="00494EF1">
            <w:pPr>
              <w:spacing w:after="0" w:line="240" w:lineRule="auto"/>
            </w:pPr>
          </w:p>
          <w:p w14:paraId="5FD6BD94" w14:textId="77777777" w:rsidR="000B34CB" w:rsidRPr="00C3109A" w:rsidRDefault="000B34CB" w:rsidP="00494EF1">
            <w:pPr>
              <w:spacing w:after="0" w:line="240" w:lineRule="auto"/>
              <w:rPr>
                <w:rFonts w:cs="Calibri"/>
                <w:b/>
              </w:rPr>
            </w:pPr>
            <w:r w:rsidRPr="00C3109A">
              <w:rPr>
                <w:rFonts w:cs="Calibri"/>
                <w:b/>
              </w:rPr>
              <w:t>Les services associés</w:t>
            </w:r>
          </w:p>
          <w:p w14:paraId="4C33BA58" w14:textId="77777777" w:rsidR="000B34CB" w:rsidRPr="00C3109A" w:rsidRDefault="000B34CB" w:rsidP="00494EF1">
            <w:pPr>
              <w:spacing w:after="0" w:line="240" w:lineRule="auto"/>
              <w:rPr>
                <w:rFonts w:cs="Calibri"/>
              </w:rPr>
            </w:pPr>
            <w:r w:rsidRPr="00C3109A">
              <w:rPr>
                <w:rFonts w:cs="Calibri"/>
              </w:rPr>
              <w:t>Les services de base et les services add</w:t>
            </w:r>
            <w:r>
              <w:rPr>
                <w:rFonts w:cs="Calibri"/>
              </w:rPr>
              <w:t>itionnels</w:t>
            </w:r>
            <w:r w:rsidRPr="00C3109A">
              <w:rPr>
                <w:rFonts w:cs="Calibri"/>
              </w:rPr>
              <w:t>, le marketing des services, la coproduction de services...</w:t>
            </w:r>
          </w:p>
          <w:p w14:paraId="7780AB2A" w14:textId="77777777" w:rsidR="000B34CB" w:rsidRDefault="000B34CB" w:rsidP="00494EF1">
            <w:pPr>
              <w:spacing w:after="0" w:line="240" w:lineRule="auto"/>
            </w:pPr>
            <w:r>
              <w:t xml:space="preserve">L’importance des services en lien avec les équipements digitaux : click and </w:t>
            </w:r>
            <w:proofErr w:type="spellStart"/>
            <w:r>
              <w:t>collect</w:t>
            </w:r>
            <w:proofErr w:type="spellEnd"/>
            <w:r>
              <w:t>, drive, drive piéton, e-réservation…</w:t>
            </w:r>
          </w:p>
          <w:p w14:paraId="1E336B5D" w14:textId="77777777" w:rsidR="000B34CB" w:rsidRDefault="000B34CB" w:rsidP="00494EF1">
            <w:pPr>
              <w:spacing w:after="0" w:line="240" w:lineRule="auto"/>
            </w:pPr>
            <w:r>
              <w:t>L’importance des nouveaux services dans la construction de l’expérience client : capsule de personnalisation des articles, cours et ateliers de formation, mise à disposition d’espaces de test produits, de détente…</w:t>
            </w:r>
          </w:p>
          <w:p w14:paraId="35AA8110" w14:textId="77777777" w:rsidR="000B34CB" w:rsidRDefault="000B34CB" w:rsidP="00494EF1">
            <w:pPr>
              <w:spacing w:after="0" w:line="240" w:lineRule="auto"/>
              <w:rPr>
                <w:b/>
              </w:rPr>
            </w:pPr>
          </w:p>
          <w:p w14:paraId="69261814" w14:textId="77777777" w:rsidR="000B34CB" w:rsidRPr="00C3109A" w:rsidRDefault="000B34CB" w:rsidP="00494EF1">
            <w:pPr>
              <w:spacing w:after="0" w:line="240" w:lineRule="auto"/>
              <w:rPr>
                <w:b/>
              </w:rPr>
            </w:pPr>
            <w:r w:rsidRPr="00C3109A">
              <w:rPr>
                <w:b/>
              </w:rPr>
              <w:t>Le prix</w:t>
            </w:r>
          </w:p>
          <w:p w14:paraId="7576AC3A" w14:textId="77777777" w:rsidR="000B34CB" w:rsidRDefault="000B34CB" w:rsidP="00494EF1">
            <w:pPr>
              <w:spacing w:after="0" w:line="240" w:lineRule="auto"/>
            </w:pPr>
            <w:r>
              <w:t>L’approche marketing du prix</w:t>
            </w:r>
          </w:p>
          <w:p w14:paraId="64BA1BAA" w14:textId="77777777" w:rsidR="000B34CB" w:rsidRPr="00C3109A" w:rsidRDefault="000B34CB" w:rsidP="00494EF1">
            <w:pPr>
              <w:spacing w:after="0" w:line="240" w:lineRule="auto"/>
            </w:pPr>
            <w:r w:rsidRPr="00C3109A">
              <w:t>Les stratégies de prix</w:t>
            </w:r>
          </w:p>
          <w:p w14:paraId="52C4267E" w14:textId="77777777" w:rsidR="000B34CB" w:rsidRDefault="000B34CB" w:rsidP="00494EF1">
            <w:pPr>
              <w:spacing w:after="0" w:line="240" w:lineRule="auto"/>
            </w:pPr>
            <w:r w:rsidRPr="00C3109A">
              <w:t xml:space="preserve">Le </w:t>
            </w:r>
            <w:proofErr w:type="spellStart"/>
            <w:r w:rsidRPr="00C3109A">
              <w:t>yield</w:t>
            </w:r>
            <w:proofErr w:type="spellEnd"/>
            <w:r w:rsidRPr="00C3109A">
              <w:t xml:space="preserve"> management</w:t>
            </w:r>
          </w:p>
          <w:p w14:paraId="4A059287" w14:textId="77777777" w:rsidR="000B34CB" w:rsidRPr="00EB2B1B" w:rsidRDefault="000B34CB" w:rsidP="00494EF1">
            <w:pPr>
              <w:spacing w:after="0" w:line="240" w:lineRule="auto"/>
              <w:rPr>
                <w:i/>
                <w:color w:val="D60093"/>
              </w:rPr>
            </w:pPr>
            <w:r w:rsidRPr="00EB2B1B">
              <w:rPr>
                <w:i/>
                <w:color w:val="D60093"/>
              </w:rPr>
              <w:t>La réglementation en matière d</w:t>
            </w:r>
            <w:r>
              <w:rPr>
                <w:i/>
                <w:color w:val="D60093"/>
              </w:rPr>
              <w:t>’affichage du</w:t>
            </w:r>
            <w:r w:rsidRPr="00EB2B1B">
              <w:rPr>
                <w:i/>
                <w:color w:val="D60093"/>
              </w:rPr>
              <w:t xml:space="preserve"> prix</w:t>
            </w:r>
          </w:p>
          <w:p w14:paraId="52D32E51" w14:textId="77777777" w:rsidR="000B34CB" w:rsidRPr="00C3109A" w:rsidRDefault="000B34CB" w:rsidP="00494EF1">
            <w:pPr>
              <w:spacing w:after="0" w:line="240" w:lineRule="auto"/>
            </w:pPr>
          </w:p>
          <w:p w14:paraId="0AA4BB23" w14:textId="77777777" w:rsidR="000B34CB" w:rsidRPr="00C3109A" w:rsidRDefault="000B34CB" w:rsidP="00494EF1">
            <w:pPr>
              <w:spacing w:after="0" w:line="240" w:lineRule="auto"/>
              <w:rPr>
                <w:b/>
              </w:rPr>
            </w:pPr>
            <w:r w:rsidRPr="00C3109A">
              <w:rPr>
                <w:b/>
              </w:rPr>
              <w:t>Les conditions générales de vente</w:t>
            </w:r>
          </w:p>
          <w:p w14:paraId="6CABDBCB" w14:textId="77777777" w:rsidR="000B34CB" w:rsidRPr="00EB2B1B" w:rsidRDefault="000B34CB" w:rsidP="00494EF1">
            <w:pPr>
              <w:spacing w:after="0" w:line="240" w:lineRule="auto"/>
              <w:rPr>
                <w:i/>
                <w:color w:val="D60093"/>
              </w:rPr>
            </w:pPr>
            <w:r w:rsidRPr="00EB2B1B">
              <w:rPr>
                <w:i/>
                <w:color w:val="D60093"/>
              </w:rPr>
              <w:t>Les conditions particulières de vente</w:t>
            </w:r>
          </w:p>
        </w:tc>
      </w:tr>
      <w:tr w:rsidR="000B34CB" w:rsidRPr="00CE6DB9" w14:paraId="524ADFC9" w14:textId="77777777" w:rsidTr="00494EF1">
        <w:tc>
          <w:tcPr>
            <w:tcW w:w="3369" w:type="dxa"/>
            <w:shd w:val="clear" w:color="auto" w:fill="auto"/>
          </w:tcPr>
          <w:p w14:paraId="02CAC15F" w14:textId="77777777" w:rsidR="000B34CB" w:rsidRPr="00AC3780" w:rsidRDefault="000B34CB" w:rsidP="00494EF1">
            <w:pPr>
              <w:spacing w:after="0"/>
              <w:rPr>
                <w:rFonts w:cs="Calibri"/>
                <w:b/>
              </w:rPr>
            </w:pPr>
            <w:r w:rsidRPr="00AC3780">
              <w:rPr>
                <w:rFonts w:cs="Calibri"/>
                <w:b/>
              </w:rPr>
              <w:lastRenderedPageBreak/>
              <w:t>Les relations producteurs/distributeurs</w:t>
            </w:r>
          </w:p>
          <w:p w14:paraId="37691AB3" w14:textId="77777777" w:rsidR="000B34CB" w:rsidRPr="00AC3780" w:rsidRDefault="000B34CB" w:rsidP="00494EF1">
            <w:pPr>
              <w:spacing w:after="0"/>
              <w:rPr>
                <w:rFonts w:cs="Calibri"/>
              </w:rPr>
            </w:pPr>
          </w:p>
          <w:p w14:paraId="56321FEB" w14:textId="77777777" w:rsidR="000B34CB" w:rsidRPr="00AC3780" w:rsidRDefault="000B34CB" w:rsidP="00494EF1">
            <w:pPr>
              <w:spacing w:after="0"/>
              <w:rPr>
                <w:rFonts w:cs="Calibri"/>
                <w:b/>
              </w:rPr>
            </w:pPr>
          </w:p>
        </w:tc>
        <w:tc>
          <w:tcPr>
            <w:tcW w:w="10775" w:type="dxa"/>
            <w:shd w:val="clear" w:color="auto" w:fill="auto"/>
          </w:tcPr>
          <w:p w14:paraId="5BFF5183" w14:textId="77777777" w:rsidR="000B34CB" w:rsidRPr="00C3109A" w:rsidRDefault="000B34CB" w:rsidP="00494EF1">
            <w:pPr>
              <w:spacing w:after="0" w:line="240" w:lineRule="auto"/>
              <w:rPr>
                <w:b/>
              </w:rPr>
            </w:pPr>
            <w:r w:rsidRPr="00C3109A">
              <w:rPr>
                <w:b/>
              </w:rPr>
              <w:t>Les enjeux de la relation producteurs/distributeurs</w:t>
            </w:r>
          </w:p>
          <w:p w14:paraId="6CE6F1F1" w14:textId="77777777" w:rsidR="000B34CB" w:rsidRDefault="000B34CB" w:rsidP="00494EF1">
            <w:pPr>
              <w:spacing w:after="0" w:line="240" w:lineRule="auto"/>
            </w:pPr>
          </w:p>
          <w:p w14:paraId="72DCA535" w14:textId="77777777" w:rsidR="000B34CB" w:rsidRPr="00C3109A" w:rsidRDefault="000B34CB" w:rsidP="00494EF1">
            <w:pPr>
              <w:spacing w:after="0"/>
              <w:rPr>
                <w:rFonts w:cs="Calibri"/>
                <w:b/>
              </w:rPr>
            </w:pPr>
            <w:r w:rsidRPr="00C3109A">
              <w:rPr>
                <w:rFonts w:cs="Calibri"/>
                <w:b/>
              </w:rPr>
              <w:t>Les action</w:t>
            </w:r>
            <w:r>
              <w:rPr>
                <w:rFonts w:cs="Calibri"/>
                <w:b/>
              </w:rPr>
              <w:t>s de la coopération commerciale</w:t>
            </w:r>
          </w:p>
          <w:p w14:paraId="15BAC96F" w14:textId="77777777" w:rsidR="000B34CB" w:rsidRPr="00C3109A" w:rsidRDefault="000B34CB" w:rsidP="00494EF1">
            <w:pPr>
              <w:spacing w:after="0" w:line="240" w:lineRule="auto"/>
            </w:pPr>
            <w:r w:rsidRPr="00C3109A">
              <w:t xml:space="preserve">- Le </w:t>
            </w:r>
            <w:proofErr w:type="spellStart"/>
            <w:r w:rsidRPr="00C3109A">
              <w:t>trade</w:t>
            </w:r>
            <w:proofErr w:type="spellEnd"/>
            <w:r w:rsidRPr="00C3109A">
              <w:t xml:space="preserve"> marketing : EDI, ECR, les actions de coopération commerciale</w:t>
            </w:r>
          </w:p>
          <w:p w14:paraId="39CE5F72" w14:textId="77777777" w:rsidR="000B34CB" w:rsidRDefault="000B34CB" w:rsidP="00494EF1">
            <w:pPr>
              <w:spacing w:after="0" w:line="240" w:lineRule="auto"/>
            </w:pPr>
          </w:p>
          <w:p w14:paraId="3D307420" w14:textId="77777777" w:rsidR="000B34CB" w:rsidRPr="00C3109A" w:rsidRDefault="000B34CB" w:rsidP="00494EF1">
            <w:pPr>
              <w:spacing w:after="0"/>
              <w:rPr>
                <w:rFonts w:cs="Calibri"/>
                <w:b/>
              </w:rPr>
            </w:pPr>
            <w:r w:rsidRPr="00C3109A">
              <w:rPr>
                <w:rFonts w:cs="Calibri"/>
                <w:b/>
              </w:rPr>
              <w:t xml:space="preserve">Les étapes et les critères de la sélection des fournisseurs </w:t>
            </w:r>
          </w:p>
          <w:p w14:paraId="06E3D60E" w14:textId="77777777" w:rsidR="000B34CB" w:rsidRPr="00AC3780" w:rsidRDefault="000B34CB" w:rsidP="00494EF1">
            <w:pPr>
              <w:spacing w:after="0"/>
              <w:rPr>
                <w:rFonts w:cs="Calibri"/>
              </w:rPr>
            </w:pPr>
            <w:r w:rsidRPr="00C3109A">
              <w:rPr>
                <w:rFonts w:cs="Calibri"/>
                <w:b/>
              </w:rPr>
              <w:t>Les modèles de décision en matière de sélection des fournisseurs</w:t>
            </w:r>
            <w:r w:rsidRPr="00AC3780">
              <w:rPr>
                <w:rFonts w:cs="Calibri"/>
              </w:rPr>
              <w:t>.</w:t>
            </w:r>
          </w:p>
          <w:p w14:paraId="6D97962C" w14:textId="77777777" w:rsidR="000B34CB" w:rsidRDefault="000B34CB" w:rsidP="00494EF1">
            <w:pPr>
              <w:spacing w:after="0"/>
              <w:rPr>
                <w:rFonts w:cs="Calibri"/>
              </w:rPr>
            </w:pPr>
          </w:p>
          <w:p w14:paraId="392EC511" w14:textId="1209C3AF" w:rsidR="000B34CB" w:rsidRPr="009675DC" w:rsidRDefault="000B34CB" w:rsidP="00494EF1">
            <w:pPr>
              <w:spacing w:after="0"/>
              <w:rPr>
                <w:i/>
                <w:color w:val="D60093"/>
              </w:rPr>
            </w:pPr>
            <w:r w:rsidRPr="009675DC">
              <w:rPr>
                <w:i/>
                <w:color w:val="D60093"/>
              </w:rPr>
              <w:t>Le cadre juridique des négociations commerciales</w:t>
            </w:r>
          </w:p>
        </w:tc>
      </w:tr>
      <w:tr w:rsidR="000B34CB" w:rsidRPr="00CE6DB9" w14:paraId="161E5C4F" w14:textId="77777777" w:rsidTr="00494EF1">
        <w:tc>
          <w:tcPr>
            <w:tcW w:w="3369" w:type="dxa"/>
            <w:shd w:val="clear" w:color="auto" w:fill="auto"/>
          </w:tcPr>
          <w:p w14:paraId="1D780E38" w14:textId="77777777" w:rsidR="000B34CB" w:rsidRPr="00AC3780" w:rsidRDefault="000B34CB" w:rsidP="00494EF1">
            <w:pPr>
              <w:spacing w:after="0"/>
              <w:rPr>
                <w:rFonts w:cs="Calibri"/>
                <w:b/>
              </w:rPr>
            </w:pPr>
            <w:r w:rsidRPr="00AC3780">
              <w:rPr>
                <w:rFonts w:cs="Calibri"/>
                <w:b/>
              </w:rPr>
              <w:lastRenderedPageBreak/>
              <w:t>Le marchandisage</w:t>
            </w:r>
          </w:p>
          <w:p w14:paraId="21C638E9" w14:textId="77777777" w:rsidR="000B34CB" w:rsidRPr="00AC3780" w:rsidRDefault="000B34CB" w:rsidP="00494EF1">
            <w:pPr>
              <w:spacing w:after="0"/>
              <w:rPr>
                <w:rFonts w:cs="Calibri"/>
                <w:b/>
              </w:rPr>
            </w:pPr>
          </w:p>
        </w:tc>
        <w:tc>
          <w:tcPr>
            <w:tcW w:w="10775" w:type="dxa"/>
            <w:shd w:val="clear" w:color="auto" w:fill="auto"/>
          </w:tcPr>
          <w:p w14:paraId="4C820FD2" w14:textId="77777777" w:rsidR="000B34CB" w:rsidRPr="00C3109A" w:rsidRDefault="000B34CB" w:rsidP="00494EF1">
            <w:pPr>
              <w:spacing w:after="0"/>
              <w:rPr>
                <w:rFonts w:cs="Calibri"/>
                <w:b/>
              </w:rPr>
            </w:pPr>
            <w:r w:rsidRPr="00C3109A">
              <w:rPr>
                <w:rFonts w:cs="Calibri"/>
                <w:b/>
              </w:rPr>
              <w:t>Les enjeux du marchandisage</w:t>
            </w:r>
          </w:p>
          <w:p w14:paraId="34A5C893" w14:textId="77777777" w:rsidR="000B34CB" w:rsidRPr="00AC3780" w:rsidRDefault="000B34CB" w:rsidP="00494EF1">
            <w:pPr>
              <w:spacing w:after="0"/>
              <w:rPr>
                <w:rFonts w:cs="Calibri"/>
              </w:rPr>
            </w:pPr>
            <w:r w:rsidRPr="00AC3780">
              <w:rPr>
                <w:rFonts w:cs="Calibri"/>
              </w:rPr>
              <w:t>Les différents domaines du marchandisage</w:t>
            </w:r>
          </w:p>
          <w:p w14:paraId="570C8EB6" w14:textId="77777777" w:rsidR="000B34CB" w:rsidRDefault="000B34CB" w:rsidP="00494EF1">
            <w:pPr>
              <w:spacing w:after="0"/>
              <w:rPr>
                <w:rFonts w:cs="Calibri"/>
                <w:b/>
              </w:rPr>
            </w:pPr>
          </w:p>
          <w:p w14:paraId="17CBB7C2" w14:textId="77777777" w:rsidR="000B34CB" w:rsidRPr="00C3109A" w:rsidRDefault="000B34CB" w:rsidP="00494EF1">
            <w:pPr>
              <w:spacing w:after="0"/>
              <w:rPr>
                <w:rFonts w:cs="Calibri"/>
                <w:b/>
              </w:rPr>
            </w:pPr>
            <w:r w:rsidRPr="00C3109A">
              <w:rPr>
                <w:rFonts w:cs="Calibri"/>
                <w:b/>
              </w:rPr>
              <w:t>Les principes d’aménagement de l’espace</w:t>
            </w:r>
          </w:p>
          <w:p w14:paraId="7D554692" w14:textId="77777777" w:rsidR="000B34CB" w:rsidRDefault="000B34CB" w:rsidP="00494EF1">
            <w:pPr>
              <w:spacing w:after="0"/>
              <w:rPr>
                <w:rFonts w:cs="Calibri"/>
                <w:color w:val="000000"/>
              </w:rPr>
            </w:pPr>
            <w:r w:rsidRPr="00AA778F">
              <w:rPr>
                <w:rFonts w:cs="Calibri"/>
                <w:color w:val="000000"/>
              </w:rPr>
              <w:t xml:space="preserve">La prise en compte de </w:t>
            </w:r>
            <w:r>
              <w:rPr>
                <w:rFonts w:cs="Calibri"/>
                <w:color w:val="000000"/>
              </w:rPr>
              <w:t>l’</w:t>
            </w:r>
            <w:proofErr w:type="spellStart"/>
            <w:r>
              <w:rPr>
                <w:rFonts w:cs="Calibri"/>
                <w:color w:val="000000"/>
              </w:rPr>
              <w:t>omnicanalité</w:t>
            </w:r>
            <w:proofErr w:type="spellEnd"/>
            <w:r>
              <w:rPr>
                <w:rFonts w:cs="Calibri"/>
                <w:color w:val="000000"/>
              </w:rPr>
              <w:t xml:space="preserve"> dans l’aménagement de l’espace : implantation des points de retrait du click and </w:t>
            </w:r>
            <w:proofErr w:type="spellStart"/>
            <w:r>
              <w:rPr>
                <w:rFonts w:cs="Calibri"/>
                <w:color w:val="000000"/>
              </w:rPr>
              <w:t>collect</w:t>
            </w:r>
            <w:proofErr w:type="spellEnd"/>
            <w:r>
              <w:rPr>
                <w:rFonts w:cs="Calibri"/>
                <w:color w:val="000000"/>
              </w:rPr>
              <w:t>, de l’e-réservation, implantation des dispositifs digitaux du store to web…</w:t>
            </w:r>
          </w:p>
          <w:p w14:paraId="4B81389D" w14:textId="77777777" w:rsidR="000B34CB" w:rsidRDefault="000B34CB" w:rsidP="00494EF1">
            <w:pPr>
              <w:spacing w:after="0"/>
              <w:rPr>
                <w:rFonts w:cs="Calibri"/>
                <w:b/>
                <w:color w:val="000000"/>
              </w:rPr>
            </w:pPr>
          </w:p>
          <w:p w14:paraId="3765B654" w14:textId="77777777" w:rsidR="000B34CB" w:rsidRPr="00AA778F" w:rsidRDefault="000B34CB" w:rsidP="00494EF1">
            <w:pPr>
              <w:spacing w:after="0"/>
              <w:rPr>
                <w:rFonts w:cs="Calibri"/>
                <w:b/>
                <w:color w:val="000000"/>
              </w:rPr>
            </w:pPr>
            <w:r>
              <w:rPr>
                <w:rFonts w:cs="Calibri"/>
                <w:b/>
                <w:color w:val="000000"/>
              </w:rPr>
              <w:t>Les techniques de marchandisage</w:t>
            </w:r>
          </w:p>
          <w:p w14:paraId="54107F71" w14:textId="77777777" w:rsidR="000B34CB" w:rsidRDefault="000B34CB" w:rsidP="00494EF1">
            <w:pPr>
              <w:spacing w:after="0"/>
              <w:rPr>
                <w:rFonts w:cs="Calibri"/>
              </w:rPr>
            </w:pPr>
            <w:r w:rsidRPr="00AC3780">
              <w:rPr>
                <w:rFonts w:cs="Calibri"/>
              </w:rPr>
              <w:t>Les techniques du marchandisage des linéaires</w:t>
            </w:r>
          </w:p>
          <w:p w14:paraId="17F60478" w14:textId="77777777" w:rsidR="000B34CB" w:rsidRPr="00AC3780" w:rsidRDefault="000B34CB" w:rsidP="00494EF1">
            <w:pPr>
              <w:spacing w:after="0"/>
              <w:rPr>
                <w:rFonts w:cs="Calibri"/>
              </w:rPr>
            </w:pPr>
            <w:r>
              <w:rPr>
                <w:rFonts w:cs="Calibri"/>
              </w:rPr>
              <w:t>Les techniques du marchandisage de séduction</w:t>
            </w:r>
          </w:p>
          <w:p w14:paraId="54163115" w14:textId="77777777" w:rsidR="000B34CB" w:rsidRDefault="000B34CB" w:rsidP="00494EF1">
            <w:pPr>
              <w:spacing w:after="0"/>
              <w:rPr>
                <w:rFonts w:cs="Calibri"/>
              </w:rPr>
            </w:pPr>
            <w:r>
              <w:rPr>
                <w:rFonts w:cs="Calibri"/>
              </w:rPr>
              <w:t>La mise en scène des produits</w:t>
            </w:r>
          </w:p>
          <w:p w14:paraId="7265C306" w14:textId="77777777" w:rsidR="000B34CB" w:rsidRDefault="000B34CB" w:rsidP="00494EF1">
            <w:pPr>
              <w:spacing w:after="0"/>
              <w:rPr>
                <w:rFonts w:cs="Calibri"/>
                <w:b/>
              </w:rPr>
            </w:pPr>
          </w:p>
          <w:p w14:paraId="44F7B990" w14:textId="77777777" w:rsidR="000B34CB" w:rsidRPr="00AA778F" w:rsidRDefault="000B34CB" w:rsidP="00494EF1">
            <w:pPr>
              <w:spacing w:after="0"/>
              <w:rPr>
                <w:rFonts w:cs="Calibri"/>
                <w:b/>
              </w:rPr>
            </w:pPr>
            <w:r w:rsidRPr="00AA778F">
              <w:rPr>
                <w:rFonts w:cs="Calibri"/>
                <w:b/>
              </w:rPr>
              <w:t xml:space="preserve">Les apports du digital </w:t>
            </w:r>
          </w:p>
          <w:p w14:paraId="6E9690DE" w14:textId="77777777" w:rsidR="000B34CB" w:rsidRPr="00AC3780" w:rsidRDefault="000B34CB" w:rsidP="00494EF1">
            <w:pPr>
              <w:spacing w:after="0"/>
              <w:rPr>
                <w:rFonts w:cs="Calibri"/>
              </w:rPr>
            </w:pPr>
            <w:r>
              <w:rPr>
                <w:rFonts w:cs="Calibri"/>
              </w:rPr>
              <w:t xml:space="preserve">L’importance des supports digitaux </w:t>
            </w:r>
          </w:p>
          <w:p w14:paraId="21408066" w14:textId="77777777" w:rsidR="000B34CB" w:rsidRDefault="000B34CB" w:rsidP="00494EF1">
            <w:pPr>
              <w:spacing w:after="0"/>
              <w:rPr>
                <w:rFonts w:cs="Calibri"/>
                <w:i/>
                <w:color w:val="D60093"/>
              </w:rPr>
            </w:pPr>
            <w:r w:rsidRPr="009D1145">
              <w:rPr>
                <w:rFonts w:cs="Calibri"/>
                <w:i/>
                <w:color w:val="D60093"/>
              </w:rPr>
              <w:t>Les dispositions légales et réglementaires en matière d’agencement de l’UC, les règles d’hygiène et de sécurité</w:t>
            </w:r>
          </w:p>
          <w:p w14:paraId="428A8453" w14:textId="77777777" w:rsidR="000B34CB" w:rsidRPr="009D1145" w:rsidRDefault="000B34CB" w:rsidP="00494EF1">
            <w:pPr>
              <w:spacing w:after="0"/>
              <w:rPr>
                <w:rFonts w:cs="Calibri"/>
                <w:i/>
                <w:color w:val="D60093"/>
              </w:rPr>
            </w:pPr>
          </w:p>
          <w:p w14:paraId="570331A1" w14:textId="77777777" w:rsidR="000B34CB" w:rsidRPr="00AC3780" w:rsidRDefault="000B34CB" w:rsidP="00494EF1">
            <w:pPr>
              <w:spacing w:after="0"/>
              <w:rPr>
                <w:rFonts w:cs="Calibri"/>
              </w:rPr>
            </w:pPr>
            <w:r w:rsidRPr="00AA778F">
              <w:rPr>
                <w:rFonts w:cs="Calibri"/>
                <w:b/>
              </w:rPr>
              <w:t>L’e-merchandising</w:t>
            </w:r>
            <w:r w:rsidRPr="00AC3780">
              <w:rPr>
                <w:rFonts w:cs="Calibri"/>
              </w:rPr>
              <w:t xml:space="preserve"> : </w:t>
            </w:r>
          </w:p>
          <w:p w14:paraId="3093C049" w14:textId="77777777" w:rsidR="000B34CB" w:rsidRPr="00AC3780" w:rsidRDefault="000B34CB" w:rsidP="00494EF1">
            <w:pPr>
              <w:spacing w:after="0"/>
              <w:rPr>
                <w:rFonts w:cs="Calibri"/>
              </w:rPr>
            </w:pPr>
            <w:r w:rsidRPr="00AC3780">
              <w:rPr>
                <w:rFonts w:cs="Calibri"/>
              </w:rPr>
              <w:t>Les objectifs de l’e-merchandising</w:t>
            </w:r>
          </w:p>
          <w:p w14:paraId="2F447F58" w14:textId="77777777" w:rsidR="000B34CB" w:rsidRPr="00AC3780" w:rsidRDefault="000B34CB" w:rsidP="00494EF1">
            <w:pPr>
              <w:spacing w:after="0"/>
              <w:rPr>
                <w:rFonts w:cs="Calibri"/>
              </w:rPr>
            </w:pPr>
            <w:r w:rsidRPr="00AC3780">
              <w:rPr>
                <w:rFonts w:cs="Calibri"/>
              </w:rPr>
              <w:t>Les domaines et les techniques de l’e-merchandising</w:t>
            </w:r>
          </w:p>
          <w:p w14:paraId="71D6301A" w14:textId="77777777" w:rsidR="000B34CB" w:rsidRDefault="000B34CB" w:rsidP="00494EF1">
            <w:pPr>
              <w:spacing w:after="0"/>
              <w:rPr>
                <w:rFonts w:cs="Calibri"/>
              </w:rPr>
            </w:pPr>
          </w:p>
          <w:p w14:paraId="41004D2E" w14:textId="77777777" w:rsidR="000B34CB" w:rsidRPr="00AA778F" w:rsidRDefault="000B34CB" w:rsidP="00494EF1">
            <w:pPr>
              <w:spacing w:after="0"/>
              <w:rPr>
                <w:rFonts w:cs="Calibri"/>
                <w:b/>
              </w:rPr>
            </w:pPr>
            <w:r w:rsidRPr="00AA778F">
              <w:rPr>
                <w:rFonts w:cs="Calibri"/>
                <w:b/>
              </w:rPr>
              <w:t>La mesure des performances de l’e-merchandising</w:t>
            </w:r>
          </w:p>
          <w:p w14:paraId="439DC1BE" w14:textId="77777777" w:rsidR="000B34CB" w:rsidRPr="00A242FF" w:rsidRDefault="000B34CB" w:rsidP="00494EF1">
            <w:pPr>
              <w:spacing w:after="0"/>
              <w:rPr>
                <w:rFonts w:cs="Calibri"/>
              </w:rPr>
            </w:pPr>
            <w:r w:rsidRPr="00AC3780">
              <w:rPr>
                <w:rFonts w:cs="Calibri"/>
              </w:rPr>
              <w:t>La mesure des performances du</w:t>
            </w:r>
            <w:r>
              <w:rPr>
                <w:rFonts w:cs="Calibri"/>
              </w:rPr>
              <w:t xml:space="preserve"> marchandisage des UC physiques</w:t>
            </w:r>
          </w:p>
        </w:tc>
      </w:tr>
      <w:tr w:rsidR="000B34CB" w:rsidRPr="00CE6DB9" w14:paraId="12C43F7B" w14:textId="77777777" w:rsidTr="00494EF1">
        <w:tc>
          <w:tcPr>
            <w:tcW w:w="3369" w:type="dxa"/>
            <w:shd w:val="clear" w:color="auto" w:fill="auto"/>
          </w:tcPr>
          <w:p w14:paraId="25C804B7" w14:textId="77777777" w:rsidR="000B34CB" w:rsidRPr="00AC3780" w:rsidRDefault="000B34CB" w:rsidP="00494EF1">
            <w:pPr>
              <w:spacing w:after="0"/>
              <w:rPr>
                <w:rFonts w:cs="Calibri"/>
                <w:b/>
              </w:rPr>
            </w:pPr>
            <w:r w:rsidRPr="00AC3780">
              <w:rPr>
                <w:rFonts w:cs="Calibri"/>
                <w:b/>
              </w:rPr>
              <w:t>L’animation commerciale et les actions promotionnelle</w:t>
            </w:r>
          </w:p>
          <w:p w14:paraId="056994EF" w14:textId="77777777" w:rsidR="000B34CB" w:rsidRPr="00AC3780" w:rsidRDefault="000B34CB" w:rsidP="00494EF1">
            <w:pPr>
              <w:spacing w:after="0"/>
              <w:rPr>
                <w:rFonts w:cs="Calibri"/>
                <w:b/>
              </w:rPr>
            </w:pPr>
          </w:p>
          <w:p w14:paraId="3E834DFF" w14:textId="77777777" w:rsidR="000B34CB" w:rsidRPr="00AC3780" w:rsidRDefault="000B34CB" w:rsidP="00494EF1">
            <w:pPr>
              <w:spacing w:after="0"/>
              <w:rPr>
                <w:rFonts w:cs="Calibri"/>
                <w:b/>
              </w:rPr>
            </w:pPr>
          </w:p>
        </w:tc>
        <w:tc>
          <w:tcPr>
            <w:tcW w:w="10775" w:type="dxa"/>
            <w:shd w:val="clear" w:color="auto" w:fill="auto"/>
          </w:tcPr>
          <w:p w14:paraId="4E53F9D1" w14:textId="77777777" w:rsidR="000B34CB" w:rsidRPr="003E28B8" w:rsidRDefault="000B34CB" w:rsidP="00494EF1">
            <w:pPr>
              <w:spacing w:after="0"/>
              <w:rPr>
                <w:rFonts w:cs="Calibri"/>
                <w:b/>
              </w:rPr>
            </w:pPr>
            <w:r w:rsidRPr="003E28B8">
              <w:rPr>
                <w:rFonts w:cs="Calibri"/>
                <w:b/>
              </w:rPr>
              <w:t xml:space="preserve">Les enjeux de l’animation commerciale </w:t>
            </w:r>
            <w:r w:rsidRPr="00AC3780">
              <w:rPr>
                <w:rFonts w:cs="Calibri"/>
              </w:rPr>
              <w:t>et de la promotion des ventes pour les UC physiques et virtuelles</w:t>
            </w:r>
          </w:p>
          <w:p w14:paraId="06A39A06" w14:textId="77777777" w:rsidR="000B34CB" w:rsidRDefault="000B34CB" w:rsidP="00494EF1">
            <w:pPr>
              <w:spacing w:after="0"/>
              <w:rPr>
                <w:rFonts w:cs="Calibri"/>
              </w:rPr>
            </w:pPr>
          </w:p>
          <w:p w14:paraId="4D589C84" w14:textId="77777777" w:rsidR="000B34CB" w:rsidRPr="003E28B8" w:rsidRDefault="000B34CB" w:rsidP="00494EF1">
            <w:pPr>
              <w:spacing w:after="0"/>
              <w:rPr>
                <w:rFonts w:cs="Calibri"/>
                <w:b/>
              </w:rPr>
            </w:pPr>
            <w:r w:rsidRPr="003E28B8">
              <w:rPr>
                <w:rFonts w:cs="Calibri"/>
                <w:b/>
              </w:rPr>
              <w:t>Les actions d’animation commerciale des unités commerciales physiques et virtuelles</w:t>
            </w:r>
          </w:p>
          <w:p w14:paraId="5B79409A" w14:textId="77777777" w:rsidR="000B34CB" w:rsidRPr="00AC3780" w:rsidRDefault="000B34CB" w:rsidP="00494EF1">
            <w:pPr>
              <w:spacing w:after="0"/>
              <w:rPr>
                <w:rFonts w:cs="Calibri"/>
              </w:rPr>
            </w:pPr>
            <w:r w:rsidRPr="00AC3780">
              <w:rPr>
                <w:rFonts w:cs="Calibri"/>
              </w:rPr>
              <w:t>Les différentes techniques d’animation commerciale</w:t>
            </w:r>
          </w:p>
          <w:p w14:paraId="55B04D2E" w14:textId="77777777" w:rsidR="000B34CB" w:rsidRDefault="000B34CB" w:rsidP="00494EF1">
            <w:pPr>
              <w:spacing w:after="0"/>
              <w:rPr>
                <w:rFonts w:cs="Calibri"/>
              </w:rPr>
            </w:pPr>
            <w:r>
              <w:rPr>
                <w:rFonts w:cs="Calibri"/>
              </w:rPr>
              <w:t>Le choix des techniques d’animation commerciale en fonction des contraintes : objectifs, budget …</w:t>
            </w:r>
          </w:p>
          <w:p w14:paraId="678DB380" w14:textId="77777777" w:rsidR="000B34CB" w:rsidRDefault="000B34CB" w:rsidP="00494EF1">
            <w:pPr>
              <w:spacing w:after="0"/>
              <w:rPr>
                <w:rFonts w:cs="Calibri"/>
              </w:rPr>
            </w:pPr>
            <w:r>
              <w:rPr>
                <w:rFonts w:cs="Calibri"/>
              </w:rPr>
              <w:t>Les étapes de la mise en œuvre d’une animation commerciale</w:t>
            </w:r>
          </w:p>
          <w:p w14:paraId="422C34E1" w14:textId="77777777" w:rsidR="000B34CB" w:rsidRDefault="000B34CB" w:rsidP="00494EF1">
            <w:pPr>
              <w:spacing w:after="0"/>
              <w:rPr>
                <w:rFonts w:cs="Calibri"/>
              </w:rPr>
            </w:pPr>
          </w:p>
          <w:p w14:paraId="34F56D7C" w14:textId="77777777" w:rsidR="000B34CB" w:rsidRPr="003E28B8" w:rsidRDefault="000B34CB" w:rsidP="00494EF1">
            <w:pPr>
              <w:spacing w:after="0"/>
              <w:rPr>
                <w:rFonts w:cs="Calibri"/>
                <w:b/>
              </w:rPr>
            </w:pPr>
            <w:r w:rsidRPr="003E28B8">
              <w:rPr>
                <w:rFonts w:cs="Calibri"/>
                <w:b/>
              </w:rPr>
              <w:t>Les actions promotionnelles des unités commerciales physiques et virtuelles</w:t>
            </w:r>
          </w:p>
          <w:p w14:paraId="46760E68" w14:textId="77777777" w:rsidR="000B34CB" w:rsidRPr="00AC3780" w:rsidRDefault="000B34CB" w:rsidP="00494EF1">
            <w:pPr>
              <w:spacing w:after="0"/>
              <w:rPr>
                <w:rFonts w:cs="Calibri"/>
              </w:rPr>
            </w:pPr>
            <w:r>
              <w:rPr>
                <w:rFonts w:cs="Calibri"/>
              </w:rPr>
              <w:t xml:space="preserve">Les différentes techniques </w:t>
            </w:r>
            <w:r w:rsidRPr="00AC3780">
              <w:rPr>
                <w:rFonts w:cs="Calibri"/>
              </w:rPr>
              <w:t>de promotion des ventes</w:t>
            </w:r>
          </w:p>
          <w:p w14:paraId="3A1375E3" w14:textId="77777777" w:rsidR="000B34CB" w:rsidRDefault="000B34CB" w:rsidP="00494EF1">
            <w:pPr>
              <w:spacing w:after="0"/>
              <w:rPr>
                <w:rFonts w:cs="Calibri"/>
              </w:rPr>
            </w:pPr>
            <w:r>
              <w:rPr>
                <w:rFonts w:cs="Calibri"/>
              </w:rPr>
              <w:t>Le choix des techniques promotionnelles en fonction des contraintes : objectifs, budget, réglementation …</w:t>
            </w:r>
          </w:p>
          <w:p w14:paraId="179E5198" w14:textId="77777777" w:rsidR="000B34CB" w:rsidRDefault="000B34CB" w:rsidP="00494EF1">
            <w:pPr>
              <w:spacing w:after="0"/>
              <w:rPr>
                <w:rFonts w:cs="Calibri"/>
              </w:rPr>
            </w:pPr>
            <w:r>
              <w:rPr>
                <w:rFonts w:cs="Calibri"/>
              </w:rPr>
              <w:t>Les étapes de la mise en œuvre d’une opération promotionnelle</w:t>
            </w:r>
          </w:p>
          <w:p w14:paraId="2FACFCAD" w14:textId="77777777" w:rsidR="000B34CB" w:rsidRDefault="000B34CB" w:rsidP="00494EF1">
            <w:pPr>
              <w:spacing w:after="0"/>
              <w:rPr>
                <w:rFonts w:cs="Calibri"/>
              </w:rPr>
            </w:pPr>
          </w:p>
          <w:p w14:paraId="1A664521" w14:textId="77777777" w:rsidR="000B34CB" w:rsidRPr="000D5550" w:rsidRDefault="000B34CB" w:rsidP="00494EF1">
            <w:pPr>
              <w:spacing w:after="0"/>
              <w:rPr>
                <w:rFonts w:cs="Calibri"/>
                <w:b/>
                <w:i/>
                <w:color w:val="D60093"/>
              </w:rPr>
            </w:pPr>
            <w:r w:rsidRPr="000D5550">
              <w:rPr>
                <w:rFonts w:cs="Calibri"/>
                <w:b/>
                <w:i/>
                <w:color w:val="D60093"/>
              </w:rPr>
              <w:t>La règlementation des animations commerciales et des actions promotionnelles</w:t>
            </w:r>
          </w:p>
          <w:p w14:paraId="6076B304" w14:textId="77777777" w:rsidR="000B34CB" w:rsidRPr="000D5550" w:rsidRDefault="000B34CB" w:rsidP="00494EF1">
            <w:pPr>
              <w:spacing w:after="0"/>
              <w:rPr>
                <w:rFonts w:cs="Calibri"/>
                <w:b/>
                <w:i/>
                <w:color w:val="D60093"/>
              </w:rPr>
            </w:pPr>
            <w:proofErr w:type="gramStart"/>
            <w:r w:rsidRPr="00B7376C">
              <w:rPr>
                <w:rFonts w:cs="Calibri"/>
                <w:i/>
                <w:color w:val="D60093"/>
              </w:rPr>
              <w:lastRenderedPageBreak/>
              <w:t>et</w:t>
            </w:r>
            <w:proofErr w:type="gramEnd"/>
            <w:r w:rsidRPr="00B7376C">
              <w:rPr>
                <w:rFonts w:cs="Calibri"/>
                <w:i/>
                <w:color w:val="D60093"/>
              </w:rPr>
              <w:t xml:space="preserve"> notamment la loi </w:t>
            </w:r>
            <w:proofErr w:type="spellStart"/>
            <w:r w:rsidRPr="00B7376C">
              <w:rPr>
                <w:rFonts w:cs="Calibri"/>
                <w:i/>
                <w:color w:val="D60093"/>
              </w:rPr>
              <w:t>EGalim</w:t>
            </w:r>
            <w:proofErr w:type="spellEnd"/>
            <w:r w:rsidRPr="000D5550">
              <w:rPr>
                <w:rFonts w:cs="Calibri"/>
                <w:i/>
                <w:color w:val="D60093"/>
              </w:rPr>
              <w:t>, le</w:t>
            </w:r>
            <w:r>
              <w:rPr>
                <w:rFonts w:cs="Calibri"/>
                <w:i/>
                <w:color w:val="D60093"/>
              </w:rPr>
              <w:t xml:space="preserve">s dispositions réglementaires en cours </w:t>
            </w:r>
            <w:r w:rsidRPr="000D5550">
              <w:rPr>
                <w:rFonts w:cs="Calibri"/>
                <w:i/>
                <w:color w:val="D60093"/>
              </w:rPr>
              <w:t>sur la taxation des achats en ligne</w:t>
            </w:r>
          </w:p>
          <w:p w14:paraId="44BE8ADA" w14:textId="77777777" w:rsidR="000B34CB" w:rsidRPr="00AC3780" w:rsidRDefault="000B34CB" w:rsidP="00494EF1">
            <w:pPr>
              <w:spacing w:after="0"/>
              <w:rPr>
                <w:rFonts w:cs="Calibri"/>
              </w:rPr>
            </w:pPr>
          </w:p>
          <w:p w14:paraId="5CE1A456" w14:textId="77777777" w:rsidR="000B34CB" w:rsidRPr="002013D8" w:rsidRDefault="000B34CB" w:rsidP="00494EF1">
            <w:pPr>
              <w:spacing w:after="0"/>
              <w:rPr>
                <w:rFonts w:cs="Calibri"/>
                <w:b/>
              </w:rPr>
            </w:pPr>
            <w:r w:rsidRPr="003E28B8">
              <w:rPr>
                <w:rFonts w:cs="Calibri"/>
                <w:b/>
              </w:rPr>
              <w:t>L’évaluation des performances des animations commerciales et des actions promotionnelles</w:t>
            </w:r>
          </w:p>
          <w:p w14:paraId="576A5A99" w14:textId="77777777" w:rsidR="000B34CB" w:rsidRPr="00AC3780" w:rsidRDefault="000B34CB" w:rsidP="00494EF1">
            <w:pPr>
              <w:spacing w:after="0"/>
              <w:rPr>
                <w:rFonts w:cs="Calibri"/>
              </w:rPr>
            </w:pPr>
            <w:r w:rsidRPr="00AC3780">
              <w:rPr>
                <w:rFonts w:cs="Calibri"/>
              </w:rPr>
              <w:t xml:space="preserve">Les outils de collecte de données </w:t>
            </w:r>
          </w:p>
          <w:p w14:paraId="262273E1" w14:textId="77777777" w:rsidR="000B34CB" w:rsidRPr="00E642A3" w:rsidRDefault="000B34CB" w:rsidP="00494EF1">
            <w:pPr>
              <w:spacing w:after="0"/>
              <w:rPr>
                <w:rFonts w:cs="Calibri"/>
              </w:rPr>
            </w:pPr>
            <w:r>
              <w:rPr>
                <w:rFonts w:cs="Calibri"/>
              </w:rPr>
              <w:t>Les indicateurs de performance</w:t>
            </w:r>
          </w:p>
        </w:tc>
      </w:tr>
      <w:tr w:rsidR="000B34CB" w:rsidRPr="00CE6DB9" w14:paraId="2FF1DEAA" w14:textId="77777777" w:rsidTr="00494EF1">
        <w:tc>
          <w:tcPr>
            <w:tcW w:w="3369" w:type="dxa"/>
            <w:shd w:val="clear" w:color="auto" w:fill="auto"/>
          </w:tcPr>
          <w:p w14:paraId="0DC402C4" w14:textId="77777777" w:rsidR="000B34CB" w:rsidRPr="00AC3780" w:rsidRDefault="000B34CB" w:rsidP="00494EF1">
            <w:pPr>
              <w:spacing w:after="0"/>
              <w:rPr>
                <w:rFonts w:cs="Calibri"/>
                <w:b/>
              </w:rPr>
            </w:pPr>
            <w:r w:rsidRPr="00AC3780">
              <w:rPr>
                <w:rFonts w:cs="Calibri"/>
                <w:b/>
              </w:rPr>
              <w:lastRenderedPageBreak/>
              <w:t>La communication de l’unité commerciale</w:t>
            </w:r>
          </w:p>
          <w:p w14:paraId="33AACBB5" w14:textId="77777777" w:rsidR="000B34CB" w:rsidRPr="00AC3780" w:rsidRDefault="000B34CB" w:rsidP="00494EF1">
            <w:pPr>
              <w:spacing w:after="0"/>
              <w:rPr>
                <w:rFonts w:cs="Calibri"/>
                <w:b/>
              </w:rPr>
            </w:pPr>
          </w:p>
        </w:tc>
        <w:tc>
          <w:tcPr>
            <w:tcW w:w="10775" w:type="dxa"/>
            <w:shd w:val="clear" w:color="auto" w:fill="auto"/>
          </w:tcPr>
          <w:p w14:paraId="3A55A291" w14:textId="77777777" w:rsidR="000B34CB" w:rsidRPr="00E642A3" w:rsidRDefault="000B34CB" w:rsidP="00494EF1">
            <w:pPr>
              <w:spacing w:after="0" w:line="240" w:lineRule="auto"/>
              <w:rPr>
                <w:rFonts w:eastAsia="Times New Roman" w:cs="Arial"/>
                <w:b/>
                <w:lang w:eastAsia="fr-FR"/>
              </w:rPr>
            </w:pPr>
            <w:r w:rsidRPr="002013D8">
              <w:rPr>
                <w:rFonts w:eastAsia="Times New Roman" w:cs="Arial"/>
                <w:b/>
                <w:lang w:eastAsia="fr-FR"/>
              </w:rPr>
              <w:t>Les objectifs de la communication commerciale</w:t>
            </w:r>
          </w:p>
          <w:p w14:paraId="024A56EB" w14:textId="77777777" w:rsidR="000B34CB" w:rsidRPr="00E642A3" w:rsidRDefault="000B34CB" w:rsidP="00494EF1">
            <w:pPr>
              <w:spacing w:after="0" w:line="240" w:lineRule="auto"/>
              <w:rPr>
                <w:rFonts w:eastAsia="Times New Roman" w:cs="Arial"/>
                <w:b/>
                <w:lang w:eastAsia="fr-FR"/>
              </w:rPr>
            </w:pPr>
            <w:r w:rsidRPr="002013D8">
              <w:rPr>
                <w:rFonts w:eastAsia="Times New Roman" w:cs="Arial"/>
                <w:b/>
                <w:lang w:eastAsia="fr-FR"/>
              </w:rPr>
              <w:t>Les moyens et supports de la communication sur le lieu de vente et de</w:t>
            </w:r>
            <w:r>
              <w:rPr>
                <w:rFonts w:eastAsia="Times New Roman" w:cs="Arial"/>
                <w:b/>
                <w:lang w:eastAsia="fr-FR"/>
              </w:rPr>
              <w:t xml:space="preserve"> la communication externe local</w:t>
            </w:r>
          </w:p>
          <w:p w14:paraId="78F5185C" w14:textId="77777777" w:rsidR="000B34CB" w:rsidRPr="00F91B0C" w:rsidRDefault="000B34CB" w:rsidP="00494EF1">
            <w:pPr>
              <w:spacing w:after="0" w:line="240" w:lineRule="auto"/>
              <w:rPr>
                <w:rFonts w:eastAsia="Times New Roman" w:cs="Arial"/>
                <w:lang w:eastAsia="fr-FR"/>
              </w:rPr>
            </w:pPr>
            <w:r w:rsidRPr="00F91B0C">
              <w:rPr>
                <w:rFonts w:eastAsia="Times New Roman" w:cs="Arial"/>
                <w:lang w:eastAsia="fr-FR"/>
              </w:rPr>
              <w:t>- Les classifications des moyens et des supports de communication</w:t>
            </w:r>
          </w:p>
          <w:p w14:paraId="6DB47AF5" w14:textId="77777777" w:rsidR="000B34CB" w:rsidRDefault="000B34CB" w:rsidP="00494EF1">
            <w:pPr>
              <w:spacing w:after="0" w:line="240" w:lineRule="auto"/>
              <w:rPr>
                <w:rFonts w:eastAsia="Times New Roman" w:cs="Arial"/>
                <w:lang w:eastAsia="fr-FR"/>
              </w:rPr>
            </w:pPr>
            <w:r>
              <w:rPr>
                <w:rFonts w:eastAsia="Times New Roman" w:cs="Arial"/>
                <w:lang w:eastAsia="fr-FR"/>
              </w:rPr>
              <w:t>La classification traditionnelle : média/hors média</w:t>
            </w:r>
          </w:p>
          <w:p w14:paraId="3FDDEB63" w14:textId="77777777" w:rsidR="000B34CB" w:rsidRPr="00F91B0C" w:rsidRDefault="000B34CB" w:rsidP="00494EF1">
            <w:pPr>
              <w:spacing w:after="0" w:line="240" w:lineRule="auto"/>
              <w:rPr>
                <w:rFonts w:eastAsia="Times New Roman" w:cs="Arial"/>
                <w:lang w:val="en-US" w:eastAsia="fr-FR"/>
              </w:rPr>
            </w:pPr>
            <w:r w:rsidRPr="00F91B0C">
              <w:rPr>
                <w:rFonts w:eastAsia="Times New Roman" w:cs="Arial"/>
                <w:lang w:val="en-US" w:eastAsia="fr-FR"/>
              </w:rPr>
              <w:t>L</w:t>
            </w:r>
            <w:r>
              <w:rPr>
                <w:rFonts w:eastAsia="Times New Roman" w:cs="Arial"/>
                <w:lang w:val="en-US" w:eastAsia="fr-FR"/>
              </w:rPr>
              <w:t xml:space="preserve">es </w:t>
            </w:r>
            <w:proofErr w:type="spellStart"/>
            <w:r>
              <w:rPr>
                <w:rFonts w:eastAsia="Times New Roman" w:cs="Arial"/>
                <w:lang w:val="en-US" w:eastAsia="fr-FR"/>
              </w:rPr>
              <w:t>nouvelles</w:t>
            </w:r>
            <w:proofErr w:type="spellEnd"/>
            <w:r w:rsidRPr="00F91B0C">
              <w:rPr>
                <w:rFonts w:eastAsia="Times New Roman" w:cs="Arial"/>
                <w:lang w:val="en-US" w:eastAsia="fr-FR"/>
              </w:rPr>
              <w:t xml:space="preserve"> classification</w:t>
            </w:r>
            <w:r>
              <w:rPr>
                <w:rFonts w:eastAsia="Times New Roman" w:cs="Arial"/>
                <w:lang w:val="en-US" w:eastAsia="fr-FR"/>
              </w:rPr>
              <w:t>s</w:t>
            </w:r>
            <w:r w:rsidRPr="00F91B0C">
              <w:rPr>
                <w:rFonts w:eastAsia="Times New Roman" w:cs="Arial"/>
                <w:lang w:val="en-US" w:eastAsia="fr-FR"/>
              </w:rPr>
              <w:t xml:space="preserve"> </w:t>
            </w:r>
            <w:r>
              <w:rPr>
                <w:rFonts w:eastAsia="Times New Roman" w:cs="Arial"/>
                <w:lang w:val="en-US" w:eastAsia="fr-FR"/>
              </w:rPr>
              <w:t xml:space="preserve">de type </w:t>
            </w:r>
            <w:r w:rsidRPr="00F91B0C">
              <w:rPr>
                <w:rFonts w:eastAsia="Times New Roman" w:cs="Arial"/>
                <w:lang w:val="en-US" w:eastAsia="fr-FR"/>
              </w:rPr>
              <w:t>P</w:t>
            </w:r>
            <w:r>
              <w:rPr>
                <w:rFonts w:eastAsia="Times New Roman" w:cs="Arial"/>
                <w:lang w:val="en-US" w:eastAsia="fr-FR"/>
              </w:rPr>
              <w:t>OEM (Paid, Owned, Earned media)</w:t>
            </w:r>
          </w:p>
          <w:p w14:paraId="3F9BFB79" w14:textId="77777777" w:rsidR="000B34CB" w:rsidRPr="00273F49" w:rsidRDefault="000B34CB" w:rsidP="00494EF1">
            <w:pPr>
              <w:spacing w:after="0" w:line="240" w:lineRule="auto"/>
              <w:rPr>
                <w:rFonts w:eastAsia="Times New Roman" w:cs="Arial"/>
                <w:lang w:eastAsia="fr-FR"/>
              </w:rPr>
            </w:pPr>
            <w:r>
              <w:rPr>
                <w:rFonts w:eastAsia="Times New Roman" w:cs="Arial"/>
                <w:lang w:eastAsia="fr-FR"/>
              </w:rPr>
              <w:t xml:space="preserve">- </w:t>
            </w:r>
            <w:r w:rsidRPr="00273F49">
              <w:rPr>
                <w:rFonts w:eastAsia="Times New Roman" w:cs="Arial"/>
                <w:lang w:eastAsia="fr-FR"/>
              </w:rPr>
              <w:t>Les moyens et supports de la communication sur le lieu de vente</w:t>
            </w:r>
            <w:r>
              <w:rPr>
                <w:rFonts w:eastAsia="Times New Roman" w:cs="Arial"/>
                <w:lang w:eastAsia="fr-FR"/>
              </w:rPr>
              <w:t xml:space="preserve"> : </w:t>
            </w:r>
          </w:p>
          <w:p w14:paraId="5E0B27DF" w14:textId="77777777" w:rsidR="000B34CB" w:rsidRDefault="000B34CB" w:rsidP="00494EF1">
            <w:pPr>
              <w:spacing w:after="0"/>
              <w:rPr>
                <w:rFonts w:cs="Calibri"/>
              </w:rPr>
            </w:pPr>
            <w:r w:rsidRPr="00AC3780">
              <w:rPr>
                <w:rFonts w:cs="Calibri"/>
              </w:rPr>
              <w:t>Les moyens et les supports traditionnels</w:t>
            </w:r>
            <w:r>
              <w:rPr>
                <w:rFonts w:cs="Calibri"/>
              </w:rPr>
              <w:t> : ILV /PLV</w:t>
            </w:r>
          </w:p>
          <w:p w14:paraId="6D058AD3" w14:textId="77777777" w:rsidR="000B34CB" w:rsidRPr="00AC3780" w:rsidRDefault="000B34CB" w:rsidP="00494EF1">
            <w:pPr>
              <w:spacing w:after="0"/>
              <w:rPr>
                <w:rFonts w:cs="Calibri"/>
              </w:rPr>
            </w:pPr>
            <w:r>
              <w:rPr>
                <w:rFonts w:cs="Calibri"/>
              </w:rPr>
              <w:t>Les nouveaux supports de communication sur le lieu de vente : les supports digitaux (écrans tactiles, tablettes, bornes interactives), étiquettes QR codes permettant d’accéder à des fiches technique produit, des tutoriels, des conseils d’utilisation et au site e-commerce...</w:t>
            </w:r>
          </w:p>
          <w:p w14:paraId="08ABA150" w14:textId="77777777" w:rsidR="000B34CB" w:rsidRPr="00AC3780" w:rsidRDefault="000B34CB" w:rsidP="00494EF1">
            <w:pPr>
              <w:spacing w:after="0"/>
              <w:rPr>
                <w:rFonts w:cs="Calibri"/>
              </w:rPr>
            </w:pPr>
            <w:proofErr w:type="gramStart"/>
            <w:r>
              <w:rPr>
                <w:rFonts w:cs="Calibri"/>
              </w:rPr>
              <w:t>l</w:t>
            </w:r>
            <w:r w:rsidRPr="00AC3780">
              <w:rPr>
                <w:rFonts w:cs="Calibri"/>
              </w:rPr>
              <w:t>a</w:t>
            </w:r>
            <w:proofErr w:type="gramEnd"/>
            <w:r w:rsidRPr="00AC3780">
              <w:rPr>
                <w:rFonts w:cs="Calibri"/>
              </w:rPr>
              <w:t xml:space="preserve"> communication géolocalisée dans le point de vente</w:t>
            </w:r>
          </w:p>
          <w:p w14:paraId="3B5839D4" w14:textId="77777777" w:rsidR="000B34CB" w:rsidRPr="00AC3780" w:rsidRDefault="000B34CB" w:rsidP="00494EF1">
            <w:pPr>
              <w:spacing w:after="0"/>
              <w:rPr>
                <w:rFonts w:cs="Calibri"/>
              </w:rPr>
            </w:pPr>
            <w:r w:rsidRPr="00AC3780">
              <w:rPr>
                <w:rFonts w:cs="Calibri"/>
              </w:rPr>
              <w:t>Le choix des moyens et des supports en fonction des objectifs, des cibles, du budget</w:t>
            </w:r>
          </w:p>
          <w:p w14:paraId="42AF4398" w14:textId="77777777" w:rsidR="000B34CB" w:rsidRDefault="000B34CB" w:rsidP="00494EF1">
            <w:pPr>
              <w:spacing w:after="0" w:line="240" w:lineRule="auto"/>
              <w:rPr>
                <w:rFonts w:eastAsia="Times New Roman" w:cs="Arial"/>
                <w:lang w:eastAsia="fr-FR"/>
              </w:rPr>
            </w:pPr>
          </w:p>
          <w:p w14:paraId="58C1064B" w14:textId="77777777" w:rsidR="000B34CB" w:rsidRPr="00AC3780" w:rsidRDefault="000B34CB" w:rsidP="00494EF1">
            <w:pPr>
              <w:spacing w:after="0"/>
              <w:rPr>
                <w:rFonts w:cs="Calibri"/>
              </w:rPr>
            </w:pPr>
            <w:r>
              <w:rPr>
                <w:rFonts w:eastAsia="Times New Roman" w:cs="Arial"/>
                <w:lang w:eastAsia="fr-FR"/>
              </w:rPr>
              <w:t xml:space="preserve">- </w:t>
            </w:r>
            <w:r w:rsidRPr="00AC3780">
              <w:rPr>
                <w:rFonts w:cs="Calibri"/>
              </w:rPr>
              <w:t>Les moyen</w:t>
            </w:r>
            <w:r>
              <w:rPr>
                <w:rFonts w:cs="Calibri"/>
              </w:rPr>
              <w:t xml:space="preserve">s et les supports </w:t>
            </w:r>
            <w:r w:rsidRPr="00AC3780">
              <w:rPr>
                <w:rFonts w:cs="Calibri"/>
              </w:rPr>
              <w:t>de la communication externe</w:t>
            </w:r>
          </w:p>
          <w:p w14:paraId="001B508E" w14:textId="77777777" w:rsidR="000B34CB" w:rsidRDefault="000B34CB" w:rsidP="00494EF1">
            <w:pPr>
              <w:spacing w:after="0"/>
              <w:rPr>
                <w:rFonts w:cs="Calibri"/>
              </w:rPr>
            </w:pPr>
            <w:r>
              <w:rPr>
                <w:rFonts w:cs="Calibri"/>
              </w:rPr>
              <w:t>Les moyens et les supports traditionnels de la communication externe </w:t>
            </w:r>
          </w:p>
          <w:p w14:paraId="32EDFAE1" w14:textId="77777777" w:rsidR="000B34CB" w:rsidRPr="00AC3780" w:rsidRDefault="000B34CB" w:rsidP="00494EF1">
            <w:pPr>
              <w:spacing w:after="0"/>
              <w:rPr>
                <w:rFonts w:cs="Calibri"/>
              </w:rPr>
            </w:pPr>
            <w:r w:rsidRPr="00AC3780">
              <w:rPr>
                <w:rFonts w:cs="Calibri"/>
              </w:rPr>
              <w:t xml:space="preserve">Les nouveaux supports de communication externe : la communication digitale, la communication par les réseaux sociaux, la communication </w:t>
            </w:r>
            <w:proofErr w:type="gramStart"/>
            <w:r w:rsidRPr="00AC3780">
              <w:rPr>
                <w:rFonts w:cs="Calibri"/>
              </w:rPr>
              <w:t xml:space="preserve">géolocalisée </w:t>
            </w:r>
            <w:r>
              <w:rPr>
                <w:rFonts w:cs="Calibri"/>
              </w:rPr>
              <w:t xml:space="preserve"> …</w:t>
            </w:r>
            <w:proofErr w:type="gramEnd"/>
            <w:r>
              <w:rPr>
                <w:rFonts w:cs="Calibri"/>
              </w:rPr>
              <w:t>.</w:t>
            </w:r>
          </w:p>
          <w:p w14:paraId="6EBE526B" w14:textId="77777777" w:rsidR="000B34CB" w:rsidRPr="00AC3780" w:rsidRDefault="000B34CB" w:rsidP="00494EF1">
            <w:pPr>
              <w:spacing w:after="0"/>
              <w:rPr>
                <w:rFonts w:cs="Calibri"/>
              </w:rPr>
            </w:pPr>
            <w:r w:rsidRPr="00AC3780">
              <w:rPr>
                <w:rFonts w:cs="Calibri"/>
              </w:rPr>
              <w:t>Le choix des moyens et des supports en fonction des objectifs, de la cible</w:t>
            </w:r>
            <w:r>
              <w:rPr>
                <w:rFonts w:cs="Calibri"/>
              </w:rPr>
              <w:t>,</w:t>
            </w:r>
            <w:r w:rsidRPr="00AC3780">
              <w:rPr>
                <w:rFonts w:cs="Calibri"/>
              </w:rPr>
              <w:t xml:space="preserve"> du budget</w:t>
            </w:r>
          </w:p>
          <w:p w14:paraId="166CC271" w14:textId="77777777" w:rsidR="000B34CB" w:rsidRPr="002013D8" w:rsidRDefault="000B34CB" w:rsidP="00494EF1">
            <w:pPr>
              <w:spacing w:after="0" w:line="240" w:lineRule="auto"/>
              <w:rPr>
                <w:rFonts w:eastAsia="Times New Roman" w:cs="Arial"/>
                <w:lang w:eastAsia="fr-FR"/>
              </w:rPr>
            </w:pPr>
          </w:p>
          <w:p w14:paraId="656C2E5C" w14:textId="77777777" w:rsidR="000B34CB" w:rsidRDefault="000B34CB" w:rsidP="00494EF1">
            <w:pPr>
              <w:spacing w:after="0" w:line="240" w:lineRule="auto"/>
              <w:rPr>
                <w:rFonts w:eastAsia="Times New Roman" w:cs="Arial"/>
                <w:b/>
                <w:lang w:eastAsia="fr-FR"/>
              </w:rPr>
            </w:pPr>
            <w:r w:rsidRPr="002013D8">
              <w:rPr>
                <w:rFonts w:eastAsia="Times New Roman" w:cs="Arial"/>
                <w:b/>
                <w:lang w:eastAsia="fr-FR"/>
              </w:rPr>
              <w:t>La création de supports de communication</w:t>
            </w:r>
          </w:p>
          <w:p w14:paraId="023B59F0" w14:textId="77777777" w:rsidR="000B34CB" w:rsidRDefault="000B34CB" w:rsidP="00494EF1">
            <w:pPr>
              <w:spacing w:after="0" w:line="240" w:lineRule="auto"/>
              <w:rPr>
                <w:rFonts w:eastAsia="Times New Roman" w:cs="Arial"/>
                <w:lang w:eastAsia="fr-FR"/>
              </w:rPr>
            </w:pPr>
            <w:r>
              <w:rPr>
                <w:rFonts w:eastAsia="Times New Roman" w:cs="Arial"/>
                <w:lang w:eastAsia="fr-FR"/>
              </w:rPr>
              <w:t>Le choix du message en fonction des objectifs, de la cible</w:t>
            </w:r>
          </w:p>
          <w:p w14:paraId="39F60FD9" w14:textId="77777777" w:rsidR="000B34CB" w:rsidRPr="002013D8" w:rsidRDefault="000B34CB" w:rsidP="00494EF1">
            <w:pPr>
              <w:spacing w:after="0" w:line="240" w:lineRule="auto"/>
              <w:rPr>
                <w:rFonts w:eastAsia="Times New Roman" w:cs="Arial"/>
                <w:lang w:eastAsia="fr-FR"/>
              </w:rPr>
            </w:pPr>
          </w:p>
          <w:p w14:paraId="2FCAD280" w14:textId="77777777" w:rsidR="000B34CB" w:rsidRDefault="000B34CB" w:rsidP="00494EF1">
            <w:pPr>
              <w:spacing w:after="0" w:line="240" w:lineRule="auto"/>
              <w:rPr>
                <w:rFonts w:eastAsia="Times New Roman" w:cs="Arial"/>
                <w:b/>
                <w:lang w:eastAsia="fr-FR"/>
              </w:rPr>
            </w:pPr>
            <w:r w:rsidRPr="002013D8">
              <w:rPr>
                <w:rFonts w:eastAsia="Times New Roman" w:cs="Arial"/>
                <w:b/>
                <w:lang w:eastAsia="fr-FR"/>
              </w:rPr>
              <w:t>La communication digitale par les réseaux sociau</w:t>
            </w:r>
            <w:r>
              <w:rPr>
                <w:rFonts w:eastAsia="Times New Roman" w:cs="Arial"/>
                <w:b/>
                <w:lang w:eastAsia="fr-FR"/>
              </w:rPr>
              <w:t>x</w:t>
            </w:r>
          </w:p>
          <w:p w14:paraId="12FA3ABD" w14:textId="77777777" w:rsidR="000B34CB" w:rsidRPr="00B26515" w:rsidRDefault="000B34CB" w:rsidP="00494EF1">
            <w:pPr>
              <w:spacing w:after="0"/>
              <w:rPr>
                <w:rFonts w:cs="Calibri"/>
                <w:b/>
                <w:color w:val="FF0000"/>
              </w:rPr>
            </w:pPr>
          </w:p>
          <w:p w14:paraId="24AC2E04" w14:textId="77777777" w:rsidR="000B34CB" w:rsidRDefault="000B34CB" w:rsidP="00494EF1">
            <w:pPr>
              <w:spacing w:after="0" w:line="240" w:lineRule="auto"/>
              <w:rPr>
                <w:rFonts w:eastAsia="Times New Roman" w:cs="Arial"/>
                <w:b/>
                <w:lang w:eastAsia="fr-FR"/>
              </w:rPr>
            </w:pPr>
            <w:r w:rsidRPr="002013D8">
              <w:rPr>
                <w:rFonts w:eastAsia="Times New Roman" w:cs="Arial"/>
                <w:b/>
                <w:lang w:eastAsia="fr-FR"/>
              </w:rPr>
              <w:t>La communication géolocalisée</w:t>
            </w:r>
          </w:p>
          <w:p w14:paraId="7C6E229F" w14:textId="77777777" w:rsidR="000B34CB" w:rsidRDefault="000B34CB" w:rsidP="00494EF1">
            <w:pPr>
              <w:spacing w:after="0" w:line="240" w:lineRule="auto"/>
              <w:rPr>
                <w:rFonts w:eastAsia="Times New Roman" w:cs="Arial"/>
                <w:lang w:eastAsia="fr-FR"/>
              </w:rPr>
            </w:pPr>
            <w:r>
              <w:rPr>
                <w:rFonts w:eastAsia="Times New Roman" w:cs="Arial"/>
                <w:lang w:eastAsia="fr-FR"/>
              </w:rPr>
              <w:t>La communication géolocalisée dans le point de vente et à l’extérieur du point de vente</w:t>
            </w:r>
          </w:p>
          <w:p w14:paraId="28331F6E" w14:textId="77777777" w:rsidR="000B34CB" w:rsidRPr="000D5550" w:rsidRDefault="000B34CB" w:rsidP="00494EF1">
            <w:pPr>
              <w:spacing w:after="0" w:line="240" w:lineRule="auto"/>
              <w:rPr>
                <w:rFonts w:eastAsia="Times New Roman" w:cs="Arial"/>
                <w:i/>
                <w:color w:val="D60093"/>
                <w:lang w:eastAsia="fr-FR"/>
              </w:rPr>
            </w:pPr>
            <w:r w:rsidRPr="000D5550">
              <w:rPr>
                <w:rFonts w:eastAsia="Times New Roman" w:cs="Arial"/>
                <w:i/>
                <w:color w:val="D60093"/>
                <w:lang w:eastAsia="fr-FR"/>
              </w:rPr>
              <w:t>La réglementation en matière de communication géolocalisée</w:t>
            </w:r>
          </w:p>
          <w:p w14:paraId="4C498791" w14:textId="77777777" w:rsidR="000B34CB" w:rsidRPr="002013D8" w:rsidRDefault="000B34CB" w:rsidP="00494EF1">
            <w:pPr>
              <w:spacing w:after="0" w:line="240" w:lineRule="auto"/>
              <w:rPr>
                <w:rFonts w:eastAsia="Times New Roman" w:cs="Arial"/>
                <w:lang w:eastAsia="fr-FR"/>
              </w:rPr>
            </w:pPr>
          </w:p>
          <w:p w14:paraId="3BE29FE4" w14:textId="77777777" w:rsidR="000B34CB" w:rsidRPr="000D5550" w:rsidRDefault="000B34CB" w:rsidP="00494EF1">
            <w:pPr>
              <w:spacing w:after="0" w:line="240" w:lineRule="auto"/>
              <w:rPr>
                <w:rFonts w:eastAsia="Times New Roman" w:cs="Arial"/>
                <w:b/>
                <w:i/>
                <w:color w:val="D60093"/>
                <w:lang w:eastAsia="fr-FR"/>
              </w:rPr>
            </w:pPr>
            <w:r w:rsidRPr="000D5550">
              <w:rPr>
                <w:rFonts w:eastAsia="Times New Roman" w:cs="Arial"/>
                <w:b/>
                <w:i/>
                <w:color w:val="D60093"/>
                <w:lang w:eastAsia="fr-FR"/>
              </w:rPr>
              <w:t>La réglementation des actions de communication</w:t>
            </w:r>
          </w:p>
          <w:p w14:paraId="001CBBFC" w14:textId="77777777" w:rsidR="000B34CB" w:rsidRPr="000D5550" w:rsidRDefault="000B34CB" w:rsidP="00494EF1">
            <w:pPr>
              <w:spacing w:after="0"/>
              <w:rPr>
                <w:rFonts w:cs="Calibri"/>
                <w:i/>
                <w:color w:val="D60093"/>
              </w:rPr>
            </w:pPr>
            <w:r w:rsidRPr="000D5550">
              <w:rPr>
                <w:rFonts w:cs="Calibri"/>
                <w:i/>
                <w:color w:val="D60093"/>
              </w:rPr>
              <w:t xml:space="preserve">La réglementation en matière de communication externe </w:t>
            </w:r>
          </w:p>
          <w:p w14:paraId="696450F7" w14:textId="77777777" w:rsidR="000B34CB" w:rsidRPr="000D5550" w:rsidRDefault="000B34CB" w:rsidP="00494EF1">
            <w:pPr>
              <w:spacing w:after="0"/>
              <w:rPr>
                <w:rFonts w:cs="Calibri"/>
                <w:i/>
                <w:color w:val="D60093"/>
              </w:rPr>
            </w:pPr>
            <w:r w:rsidRPr="000D5550">
              <w:rPr>
                <w:rFonts w:cs="Calibri"/>
                <w:i/>
                <w:color w:val="D60093"/>
              </w:rPr>
              <w:t>La réglementation en matière de publicité média</w:t>
            </w:r>
          </w:p>
          <w:p w14:paraId="48830A32" w14:textId="77777777" w:rsidR="000B34CB" w:rsidRPr="000D5550" w:rsidRDefault="000B34CB" w:rsidP="00494EF1">
            <w:pPr>
              <w:spacing w:after="0"/>
              <w:rPr>
                <w:rFonts w:cs="Calibri"/>
                <w:i/>
                <w:color w:val="D60093"/>
              </w:rPr>
            </w:pPr>
            <w:r w:rsidRPr="000D5550">
              <w:rPr>
                <w:rFonts w:cs="Calibri"/>
                <w:i/>
                <w:color w:val="D60093"/>
              </w:rPr>
              <w:t>La réglementation en matière de protection des données personnelles, CNIL, RGPD</w:t>
            </w:r>
          </w:p>
          <w:p w14:paraId="662AE8B1" w14:textId="77777777" w:rsidR="000B34CB" w:rsidRPr="002013D8" w:rsidRDefault="000B34CB" w:rsidP="00494EF1">
            <w:pPr>
              <w:spacing w:after="0" w:line="240" w:lineRule="auto"/>
              <w:rPr>
                <w:rFonts w:eastAsia="Times New Roman" w:cs="Arial"/>
                <w:lang w:eastAsia="fr-FR"/>
              </w:rPr>
            </w:pPr>
          </w:p>
          <w:p w14:paraId="172DC7EA" w14:textId="77777777" w:rsidR="000B34CB" w:rsidRPr="002013D8" w:rsidRDefault="000B34CB" w:rsidP="00494EF1">
            <w:pPr>
              <w:spacing w:after="0"/>
              <w:rPr>
                <w:rFonts w:cs="Calibri"/>
                <w:b/>
              </w:rPr>
            </w:pPr>
            <w:r w:rsidRPr="002013D8">
              <w:rPr>
                <w:rFonts w:eastAsia="Times New Roman" w:cs="Arial"/>
                <w:b/>
                <w:lang w:eastAsia="fr-FR"/>
              </w:rPr>
              <w:t>La performance des actions de communication</w:t>
            </w:r>
          </w:p>
          <w:p w14:paraId="525B07EA" w14:textId="77777777" w:rsidR="000B34CB" w:rsidRDefault="000B34CB" w:rsidP="00494EF1">
            <w:pPr>
              <w:spacing w:after="0"/>
              <w:rPr>
                <w:rFonts w:cs="Calibri"/>
              </w:rPr>
            </w:pPr>
            <w:r w:rsidRPr="00AC3780">
              <w:rPr>
                <w:rFonts w:cs="Calibri"/>
              </w:rPr>
              <w:t>- L’évaluation des performances de</w:t>
            </w:r>
            <w:r>
              <w:rPr>
                <w:rFonts w:cs="Calibri"/>
              </w:rPr>
              <w:t xml:space="preserve">s actions de </w:t>
            </w:r>
            <w:r w:rsidRPr="00AC3780">
              <w:rPr>
                <w:rFonts w:cs="Calibri"/>
              </w:rPr>
              <w:t>communication</w:t>
            </w:r>
            <w:r>
              <w:rPr>
                <w:rFonts w:cs="Calibri"/>
              </w:rPr>
              <w:t xml:space="preserve"> sur le lieu de vente : </w:t>
            </w:r>
          </w:p>
          <w:p w14:paraId="094B86C9" w14:textId="77777777" w:rsidR="000B34CB" w:rsidRPr="00AC3780" w:rsidRDefault="000B34CB" w:rsidP="00494EF1">
            <w:pPr>
              <w:spacing w:after="0"/>
              <w:rPr>
                <w:rFonts w:cs="Calibri"/>
              </w:rPr>
            </w:pPr>
            <w:r w:rsidRPr="00AC3780">
              <w:rPr>
                <w:rFonts w:cs="Calibri"/>
              </w:rPr>
              <w:t>Les</w:t>
            </w:r>
            <w:r>
              <w:rPr>
                <w:rFonts w:cs="Calibri"/>
              </w:rPr>
              <w:t xml:space="preserve"> outils de collecte de données, les indicateurs de performance, l’analyse des retombées</w:t>
            </w:r>
          </w:p>
          <w:p w14:paraId="317E7A47" w14:textId="77777777" w:rsidR="000B34CB" w:rsidRPr="00AC3780" w:rsidRDefault="000B34CB" w:rsidP="00494EF1">
            <w:pPr>
              <w:spacing w:after="0"/>
              <w:rPr>
                <w:rFonts w:cs="Calibri"/>
              </w:rPr>
            </w:pPr>
            <w:r w:rsidRPr="00AC3780">
              <w:rPr>
                <w:rFonts w:cs="Calibri"/>
              </w:rPr>
              <w:t>- L’évaluation des performances des actions de communication externe</w:t>
            </w:r>
          </w:p>
          <w:p w14:paraId="5C25C48B" w14:textId="77777777" w:rsidR="000B34CB" w:rsidRPr="00751D2E" w:rsidRDefault="000B34CB" w:rsidP="00494EF1">
            <w:pPr>
              <w:spacing w:after="0"/>
              <w:rPr>
                <w:rFonts w:cs="Calibri"/>
              </w:rPr>
            </w:pPr>
            <w:r w:rsidRPr="00AC3780">
              <w:rPr>
                <w:rFonts w:cs="Calibri"/>
              </w:rPr>
              <w:t>Les</w:t>
            </w:r>
            <w:r>
              <w:rPr>
                <w:rFonts w:cs="Calibri"/>
              </w:rPr>
              <w:t xml:space="preserve"> outils de collecte de données, l</w:t>
            </w:r>
            <w:r w:rsidRPr="00AC3780">
              <w:rPr>
                <w:rFonts w:cs="Calibri"/>
              </w:rPr>
              <w:t>es indicateurs de performance</w:t>
            </w:r>
            <w:r>
              <w:rPr>
                <w:rFonts w:cs="Calibri"/>
              </w:rPr>
              <w:t>, l’analyse des retombées</w:t>
            </w:r>
          </w:p>
        </w:tc>
      </w:tr>
    </w:tbl>
    <w:p w14:paraId="6CF7F540" w14:textId="48795679" w:rsidR="001338F9" w:rsidRDefault="001338F9" w:rsidP="008E14BB">
      <w:pPr>
        <w:spacing w:after="0"/>
        <w:rPr>
          <w:rFonts w:cs="Calibri"/>
          <w:color w:val="00B050"/>
        </w:rPr>
      </w:pPr>
    </w:p>
    <w:p w14:paraId="71F739A5" w14:textId="61B41C2D" w:rsidR="000B34CB" w:rsidRDefault="000B34CB" w:rsidP="001338F9">
      <w:pPr>
        <w:tabs>
          <w:tab w:val="left" w:pos="4029"/>
        </w:tabs>
        <w:rPr>
          <w:rFonts w:cs="Calibri"/>
        </w:rPr>
      </w:pPr>
    </w:p>
    <w:p w14:paraId="7189C10C" w14:textId="77777777" w:rsidR="001338F9" w:rsidRDefault="001338F9" w:rsidP="001338F9">
      <w:pPr>
        <w:pBdr>
          <w:bottom w:val="single" w:sz="6" w:space="1" w:color="000000"/>
        </w:pBdr>
        <w:spacing w:after="0"/>
        <w:jc w:val="center"/>
        <w:rPr>
          <w:b/>
          <w:sz w:val="28"/>
          <w:szCs w:val="28"/>
        </w:rPr>
      </w:pPr>
      <w:r>
        <w:rPr>
          <w:b/>
          <w:sz w:val="28"/>
          <w:szCs w:val="28"/>
        </w:rPr>
        <w:t>Descriptions des savoirs</w:t>
      </w:r>
    </w:p>
    <w:p w14:paraId="4CBFECDC" w14:textId="77777777" w:rsidR="001338F9" w:rsidRDefault="001338F9" w:rsidP="001338F9">
      <w:pPr>
        <w:spacing w:after="0"/>
      </w:pPr>
    </w:p>
    <w:tbl>
      <w:tblPr>
        <w:tblW w:w="14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11056"/>
      </w:tblGrid>
      <w:tr w:rsidR="001338F9" w14:paraId="26B5C16B" w14:textId="77777777" w:rsidTr="00494EF1">
        <w:tc>
          <w:tcPr>
            <w:tcW w:w="14629" w:type="dxa"/>
            <w:gridSpan w:val="2"/>
            <w:tcBorders>
              <w:bottom w:val="single" w:sz="4" w:space="0" w:color="000000"/>
            </w:tcBorders>
          </w:tcPr>
          <w:p w14:paraId="79EE855E" w14:textId="77777777" w:rsidR="001338F9" w:rsidRDefault="001338F9" w:rsidP="00494EF1">
            <w:pPr>
              <w:pBdr>
                <w:bottom w:val="single" w:sz="6" w:space="1" w:color="000000"/>
              </w:pBdr>
              <w:spacing w:after="0"/>
              <w:jc w:val="center"/>
              <w:rPr>
                <w:b/>
                <w:sz w:val="28"/>
                <w:szCs w:val="28"/>
              </w:rPr>
            </w:pPr>
            <w:r>
              <w:rPr>
                <w:b/>
                <w:sz w:val="28"/>
                <w:szCs w:val="28"/>
              </w:rPr>
              <w:t>Bloc de compétence n°3 : Assurer la gestion prévisionnelle</w:t>
            </w:r>
          </w:p>
          <w:p w14:paraId="4E7F51FF" w14:textId="77777777" w:rsidR="001338F9" w:rsidRDefault="001338F9" w:rsidP="00494EF1">
            <w:pPr>
              <w:spacing w:after="0" w:line="240" w:lineRule="auto"/>
              <w:jc w:val="both"/>
              <w:rPr>
                <w:sz w:val="24"/>
                <w:szCs w:val="24"/>
                <w:u w:val="single"/>
              </w:rPr>
            </w:pPr>
            <w:r>
              <w:rPr>
                <w:sz w:val="24"/>
                <w:szCs w:val="24"/>
                <w:u w:val="single"/>
              </w:rPr>
              <w:t>Gérer les opérations courantes</w:t>
            </w:r>
          </w:p>
          <w:p w14:paraId="05797E61" w14:textId="77777777" w:rsidR="001338F9" w:rsidRDefault="001338F9" w:rsidP="00494EF1">
            <w:pPr>
              <w:spacing w:after="0" w:line="240" w:lineRule="auto"/>
              <w:jc w:val="both"/>
              <w:rPr>
                <w:sz w:val="24"/>
                <w:szCs w:val="24"/>
                <w:u w:val="single"/>
              </w:rPr>
            </w:pPr>
            <w:r>
              <w:rPr>
                <w:sz w:val="24"/>
                <w:szCs w:val="24"/>
                <w:u w:val="single"/>
              </w:rPr>
              <w:t>Prévoir et budgétiser l’activité</w:t>
            </w:r>
          </w:p>
          <w:p w14:paraId="20F20171" w14:textId="77777777" w:rsidR="001338F9" w:rsidRDefault="001338F9" w:rsidP="00494EF1">
            <w:pPr>
              <w:spacing w:after="0" w:line="240" w:lineRule="auto"/>
              <w:jc w:val="both"/>
              <w:rPr>
                <w:sz w:val="24"/>
                <w:szCs w:val="24"/>
                <w:u w:val="single"/>
              </w:rPr>
            </w:pPr>
            <w:r>
              <w:rPr>
                <w:sz w:val="24"/>
                <w:szCs w:val="24"/>
                <w:u w:val="single"/>
              </w:rPr>
              <w:t>Analyser les performances</w:t>
            </w:r>
          </w:p>
          <w:p w14:paraId="7F2E1A59" w14:textId="77777777" w:rsidR="001338F9" w:rsidRPr="00603444" w:rsidRDefault="001338F9" w:rsidP="00494EF1">
            <w:pPr>
              <w:spacing w:after="0" w:line="240" w:lineRule="auto"/>
              <w:jc w:val="both"/>
              <w:rPr>
                <w:sz w:val="24"/>
                <w:szCs w:val="24"/>
                <w:u w:val="single"/>
              </w:rPr>
            </w:pPr>
          </w:p>
        </w:tc>
      </w:tr>
      <w:tr w:rsidR="001338F9" w14:paraId="17FE6B04" w14:textId="77777777" w:rsidTr="00494EF1">
        <w:tc>
          <w:tcPr>
            <w:tcW w:w="3573" w:type="dxa"/>
            <w:tcBorders>
              <w:bottom w:val="single" w:sz="4" w:space="0" w:color="000000"/>
            </w:tcBorders>
          </w:tcPr>
          <w:p w14:paraId="25C9EDBB" w14:textId="77777777" w:rsidR="001338F9" w:rsidRDefault="001338F9" w:rsidP="00494EF1">
            <w:pPr>
              <w:spacing w:after="0" w:line="240" w:lineRule="auto"/>
              <w:jc w:val="center"/>
            </w:pPr>
            <w:r>
              <w:t>Savoirs associés</w:t>
            </w:r>
          </w:p>
        </w:tc>
        <w:tc>
          <w:tcPr>
            <w:tcW w:w="11056" w:type="dxa"/>
            <w:tcBorders>
              <w:bottom w:val="single" w:sz="4" w:space="0" w:color="000000"/>
            </w:tcBorders>
          </w:tcPr>
          <w:p w14:paraId="4EB1D9D4" w14:textId="77777777" w:rsidR="001338F9" w:rsidRDefault="001338F9" w:rsidP="00494EF1">
            <w:pPr>
              <w:spacing w:after="0" w:line="240" w:lineRule="auto"/>
              <w:jc w:val="center"/>
            </w:pPr>
            <w:r>
              <w:t>Notions</w:t>
            </w:r>
          </w:p>
        </w:tc>
      </w:tr>
      <w:tr w:rsidR="001338F9" w14:paraId="224EDE98" w14:textId="77777777" w:rsidTr="00494EF1">
        <w:tc>
          <w:tcPr>
            <w:tcW w:w="3573" w:type="dxa"/>
            <w:tcBorders>
              <w:bottom w:val="single" w:sz="4" w:space="0" w:color="000000"/>
            </w:tcBorders>
          </w:tcPr>
          <w:p w14:paraId="165C397E" w14:textId="77777777" w:rsidR="001338F9" w:rsidRDefault="001338F9" w:rsidP="00494EF1">
            <w:pPr>
              <w:spacing w:after="0" w:line="240" w:lineRule="auto"/>
              <w:jc w:val="both"/>
            </w:pPr>
            <w:r>
              <w:t>Le cadre économique, légal et réglementaire des opérations de gestion</w:t>
            </w:r>
          </w:p>
          <w:p w14:paraId="6B1663B9" w14:textId="77777777" w:rsidR="001338F9" w:rsidRDefault="001338F9" w:rsidP="00494EF1">
            <w:pPr>
              <w:spacing w:after="0" w:line="240" w:lineRule="auto"/>
              <w:jc w:val="both"/>
            </w:pPr>
          </w:p>
        </w:tc>
        <w:tc>
          <w:tcPr>
            <w:tcW w:w="11056" w:type="dxa"/>
            <w:tcBorders>
              <w:bottom w:val="single" w:sz="4" w:space="0" w:color="000000"/>
            </w:tcBorders>
          </w:tcPr>
          <w:p w14:paraId="54FC9EF3" w14:textId="77777777" w:rsidR="001338F9" w:rsidRPr="001338F9" w:rsidRDefault="001338F9" w:rsidP="00494EF1">
            <w:pPr>
              <w:spacing w:after="0" w:line="240" w:lineRule="auto"/>
              <w:jc w:val="both"/>
              <w:rPr>
                <w:rFonts w:cs="Calibri"/>
                <w:i/>
                <w:color w:val="D60093"/>
              </w:rPr>
            </w:pPr>
            <w:r w:rsidRPr="001338F9">
              <w:rPr>
                <w:rFonts w:cs="Calibri"/>
                <w:i/>
                <w:color w:val="D60093"/>
              </w:rPr>
              <w:t>Les principales dispositions légales et réglementaires relatives à chaque opération de gestion </w:t>
            </w:r>
          </w:p>
          <w:p w14:paraId="7A6ABC19" w14:textId="77777777" w:rsidR="001338F9" w:rsidRPr="001338F9" w:rsidRDefault="001338F9" w:rsidP="00494EF1">
            <w:pPr>
              <w:spacing w:after="0" w:line="240" w:lineRule="auto"/>
              <w:rPr>
                <w:rFonts w:cs="Calibri"/>
                <w:i/>
                <w:color w:val="D60093"/>
              </w:rPr>
            </w:pPr>
            <w:r w:rsidRPr="001338F9">
              <w:rPr>
                <w:rFonts w:cs="Calibri"/>
                <w:i/>
                <w:color w:val="D60093"/>
              </w:rPr>
              <w:t>Le cadre légal général des activités de gestion</w:t>
            </w:r>
          </w:p>
          <w:p w14:paraId="6BBEF388" w14:textId="77777777" w:rsidR="001338F9" w:rsidRPr="001338F9" w:rsidRDefault="001338F9" w:rsidP="00494EF1">
            <w:pPr>
              <w:spacing w:after="0" w:line="240" w:lineRule="auto"/>
              <w:rPr>
                <w:rFonts w:cs="Calibri"/>
                <w:i/>
                <w:color w:val="D60093"/>
              </w:rPr>
            </w:pPr>
            <w:r w:rsidRPr="001338F9">
              <w:rPr>
                <w:rFonts w:cs="Calibri"/>
                <w:i/>
                <w:color w:val="D60093"/>
              </w:rPr>
              <w:t>Documents commerciaux : mentions obligatoires</w:t>
            </w:r>
          </w:p>
          <w:p w14:paraId="17918A57" w14:textId="77777777" w:rsidR="001338F9" w:rsidRPr="001338F9" w:rsidRDefault="001338F9" w:rsidP="00494EF1">
            <w:pPr>
              <w:spacing w:after="0" w:line="240" w:lineRule="auto"/>
              <w:rPr>
                <w:rFonts w:cs="Calibri"/>
                <w:i/>
                <w:color w:val="D60093"/>
              </w:rPr>
            </w:pPr>
            <w:r w:rsidRPr="001338F9">
              <w:rPr>
                <w:rFonts w:cs="Calibri"/>
                <w:i/>
                <w:color w:val="D60093"/>
              </w:rPr>
              <w:t xml:space="preserve">Délais de paiement, </w:t>
            </w:r>
          </w:p>
          <w:p w14:paraId="4574EEAB" w14:textId="77777777" w:rsidR="001338F9" w:rsidRPr="001338F9" w:rsidRDefault="001338F9" w:rsidP="00494EF1">
            <w:pPr>
              <w:spacing w:after="0" w:line="240" w:lineRule="auto"/>
              <w:rPr>
                <w:rFonts w:cs="Calibri"/>
                <w:i/>
                <w:color w:val="D60093"/>
              </w:rPr>
            </w:pPr>
            <w:r w:rsidRPr="001338F9">
              <w:rPr>
                <w:rFonts w:cs="Calibri"/>
                <w:i/>
                <w:color w:val="D60093"/>
              </w:rPr>
              <w:t xml:space="preserve">Stocks : obligations d’inventaires, </w:t>
            </w:r>
          </w:p>
          <w:p w14:paraId="31F4DF67" w14:textId="77777777" w:rsidR="001338F9" w:rsidRPr="001338F9" w:rsidRDefault="001338F9" w:rsidP="00494EF1">
            <w:pPr>
              <w:spacing w:after="0" w:line="240" w:lineRule="auto"/>
              <w:rPr>
                <w:rFonts w:cs="Calibri"/>
                <w:i/>
                <w:color w:val="D60093"/>
              </w:rPr>
            </w:pPr>
            <w:r w:rsidRPr="001338F9">
              <w:rPr>
                <w:rFonts w:cs="Calibri"/>
                <w:i/>
                <w:color w:val="D60093"/>
              </w:rPr>
              <w:t>Fixation des prix : seuil de vente à perte</w:t>
            </w:r>
          </w:p>
          <w:p w14:paraId="1A2B3E9F" w14:textId="77777777" w:rsidR="001338F9" w:rsidRPr="001338F9" w:rsidRDefault="001338F9" w:rsidP="00494EF1">
            <w:pPr>
              <w:spacing w:after="0" w:line="240" w:lineRule="auto"/>
              <w:rPr>
                <w:rFonts w:cs="Calibri"/>
                <w:i/>
                <w:color w:val="D60093"/>
              </w:rPr>
            </w:pPr>
            <w:r w:rsidRPr="001338F9">
              <w:rPr>
                <w:rFonts w:cs="Calibri"/>
                <w:i/>
                <w:color w:val="D60093"/>
              </w:rPr>
              <w:t>Documents de synthèse : bilan comptable, compte de résultat</w:t>
            </w:r>
          </w:p>
          <w:p w14:paraId="080E2930" w14:textId="77777777" w:rsidR="001338F9" w:rsidRDefault="001338F9" w:rsidP="00494EF1">
            <w:pPr>
              <w:spacing w:after="0" w:line="240" w:lineRule="auto"/>
            </w:pPr>
            <w:r w:rsidRPr="001338F9">
              <w:rPr>
                <w:rFonts w:cs="Calibri"/>
                <w:i/>
                <w:color w:val="D60093"/>
              </w:rPr>
              <w:t>Traitement des incidents : impayés</w:t>
            </w:r>
          </w:p>
        </w:tc>
      </w:tr>
      <w:tr w:rsidR="001338F9" w14:paraId="5042664F" w14:textId="77777777" w:rsidTr="00494EF1">
        <w:tc>
          <w:tcPr>
            <w:tcW w:w="3573" w:type="dxa"/>
            <w:tcBorders>
              <w:bottom w:val="single" w:sz="4" w:space="0" w:color="000000"/>
            </w:tcBorders>
          </w:tcPr>
          <w:p w14:paraId="46BE43FC" w14:textId="77777777" w:rsidR="001338F9" w:rsidRDefault="001338F9" w:rsidP="00494EF1">
            <w:pPr>
              <w:spacing w:after="0" w:line="240" w:lineRule="auto"/>
              <w:jc w:val="both"/>
            </w:pPr>
            <w:r>
              <w:t>Le cycle d’exploitation</w:t>
            </w:r>
          </w:p>
          <w:p w14:paraId="0C43016D" w14:textId="77777777" w:rsidR="001338F9" w:rsidRDefault="001338F9" w:rsidP="00494EF1">
            <w:pPr>
              <w:spacing w:after="0" w:line="240" w:lineRule="auto"/>
              <w:jc w:val="both"/>
            </w:pPr>
          </w:p>
        </w:tc>
        <w:tc>
          <w:tcPr>
            <w:tcW w:w="11056" w:type="dxa"/>
            <w:tcBorders>
              <w:bottom w:val="single" w:sz="4" w:space="0" w:color="000000"/>
            </w:tcBorders>
          </w:tcPr>
          <w:p w14:paraId="019A7523" w14:textId="77777777" w:rsidR="001338F9" w:rsidRPr="001338F9" w:rsidRDefault="001338F9" w:rsidP="00494EF1">
            <w:pPr>
              <w:spacing w:after="0" w:line="240" w:lineRule="auto"/>
              <w:jc w:val="both"/>
              <w:rPr>
                <w:color w:val="000000" w:themeColor="text1"/>
              </w:rPr>
            </w:pPr>
            <w:r w:rsidRPr="001338F9">
              <w:rPr>
                <w:color w:val="000000" w:themeColor="text1"/>
              </w:rPr>
              <w:t>Les principales composantes du cycle d’exploitation</w:t>
            </w:r>
          </w:p>
          <w:p w14:paraId="1D8C7E95" w14:textId="77777777" w:rsidR="001338F9" w:rsidRPr="001338F9" w:rsidRDefault="001338F9" w:rsidP="00494EF1">
            <w:pPr>
              <w:spacing w:after="0" w:line="240" w:lineRule="auto"/>
              <w:jc w:val="both"/>
              <w:rPr>
                <w:i/>
                <w:color w:val="000000" w:themeColor="text1"/>
              </w:rPr>
            </w:pPr>
            <w:r w:rsidRPr="001338F9">
              <w:rPr>
                <w:i/>
                <w:color w:val="000000" w:themeColor="text1"/>
              </w:rPr>
              <w:t>Achats, ventes et règlements</w:t>
            </w:r>
          </w:p>
          <w:p w14:paraId="31E0DCD1" w14:textId="77777777" w:rsidR="001338F9" w:rsidRPr="001338F9" w:rsidRDefault="001338F9" w:rsidP="00494EF1">
            <w:pPr>
              <w:spacing w:after="0" w:line="240" w:lineRule="auto"/>
              <w:jc w:val="both"/>
              <w:rPr>
                <w:color w:val="000000" w:themeColor="text1"/>
              </w:rPr>
            </w:pPr>
            <w:r w:rsidRPr="001338F9">
              <w:rPr>
                <w:color w:val="000000" w:themeColor="text1"/>
              </w:rPr>
              <w:t>Les flux physiques et financiers dans le cadre de l’activité quotidienne</w:t>
            </w:r>
          </w:p>
          <w:p w14:paraId="1A84163B" w14:textId="77777777" w:rsidR="001338F9" w:rsidRPr="001338F9" w:rsidRDefault="001338F9" w:rsidP="00494EF1">
            <w:pPr>
              <w:spacing w:after="0" w:line="240" w:lineRule="auto"/>
              <w:jc w:val="both"/>
              <w:rPr>
                <w:color w:val="000000" w:themeColor="text1"/>
              </w:rPr>
            </w:pPr>
            <w:r w:rsidRPr="001338F9">
              <w:rPr>
                <w:color w:val="000000" w:themeColor="text1"/>
              </w:rPr>
              <w:t>Le besoin en fonds de roulement</w:t>
            </w:r>
          </w:p>
          <w:p w14:paraId="58559E86" w14:textId="77777777" w:rsidR="001338F9" w:rsidRPr="001338F9" w:rsidRDefault="001338F9" w:rsidP="00494EF1">
            <w:pPr>
              <w:spacing w:after="0" w:line="240" w:lineRule="auto"/>
              <w:jc w:val="both"/>
              <w:rPr>
                <w:i/>
                <w:color w:val="000000" w:themeColor="text1"/>
              </w:rPr>
            </w:pPr>
            <w:r w:rsidRPr="001338F9">
              <w:rPr>
                <w:i/>
                <w:color w:val="000000" w:themeColor="text1"/>
              </w:rPr>
              <w:t>Les décalages dans le temps entre les éléments du cycle d’exploitation :</w:t>
            </w:r>
            <w:r w:rsidRPr="001338F9">
              <w:rPr>
                <w:color w:val="000000" w:themeColor="text1"/>
              </w:rPr>
              <w:t xml:space="preserve"> </w:t>
            </w:r>
            <w:r w:rsidRPr="001338F9">
              <w:rPr>
                <w:i/>
                <w:color w:val="000000" w:themeColor="text1"/>
              </w:rPr>
              <w:t>besoin de financement, besoin de trésorerie</w:t>
            </w:r>
          </w:p>
          <w:p w14:paraId="67AF6F01" w14:textId="77777777" w:rsidR="001338F9" w:rsidRPr="00722459" w:rsidRDefault="001338F9" w:rsidP="00494EF1">
            <w:pPr>
              <w:spacing w:after="0" w:line="240" w:lineRule="auto"/>
              <w:jc w:val="both"/>
              <w:rPr>
                <w:i/>
                <w:color w:val="000000" w:themeColor="text1"/>
              </w:rPr>
            </w:pPr>
            <w:r w:rsidRPr="001338F9">
              <w:rPr>
                <w:i/>
                <w:color w:val="000000" w:themeColor="text1"/>
              </w:rPr>
              <w:t>Les éléments constitutifs du besoin en fonds de roulement : stocks, créances clients, dettes fournisseurs.</w:t>
            </w:r>
          </w:p>
        </w:tc>
      </w:tr>
      <w:tr w:rsidR="001338F9" w14:paraId="3E1FE70A" w14:textId="77777777" w:rsidTr="00494EF1">
        <w:tc>
          <w:tcPr>
            <w:tcW w:w="3573" w:type="dxa"/>
            <w:tcBorders>
              <w:bottom w:val="single" w:sz="4" w:space="0" w:color="000000"/>
            </w:tcBorders>
          </w:tcPr>
          <w:p w14:paraId="1E5BC296" w14:textId="77777777" w:rsidR="001338F9" w:rsidRDefault="001338F9" w:rsidP="00494EF1">
            <w:pPr>
              <w:spacing w:after="0" w:line="240" w:lineRule="auto"/>
              <w:jc w:val="both"/>
            </w:pPr>
            <w:r>
              <w:t>Les documents commerciaux</w:t>
            </w:r>
          </w:p>
          <w:p w14:paraId="4144BED2" w14:textId="77777777" w:rsidR="001338F9" w:rsidRDefault="001338F9" w:rsidP="00494EF1">
            <w:pPr>
              <w:spacing w:after="0" w:line="240" w:lineRule="auto"/>
              <w:jc w:val="both"/>
              <w:rPr>
                <w:color w:val="7030A0"/>
              </w:rPr>
            </w:pPr>
          </w:p>
          <w:p w14:paraId="05595F53" w14:textId="77777777" w:rsidR="001338F9" w:rsidRDefault="001338F9" w:rsidP="00494EF1">
            <w:pPr>
              <w:spacing w:after="0" w:line="240" w:lineRule="auto"/>
              <w:jc w:val="both"/>
              <w:rPr>
                <w:color w:val="7030A0"/>
              </w:rPr>
            </w:pPr>
          </w:p>
          <w:p w14:paraId="50AAAF3F" w14:textId="77777777" w:rsidR="001338F9" w:rsidRDefault="001338F9" w:rsidP="00494EF1">
            <w:pPr>
              <w:spacing w:after="0" w:line="240" w:lineRule="auto"/>
              <w:jc w:val="both"/>
              <w:rPr>
                <w:color w:val="7030A0"/>
              </w:rPr>
            </w:pPr>
          </w:p>
          <w:p w14:paraId="3F11D14A" w14:textId="77777777" w:rsidR="001338F9" w:rsidRDefault="001338F9" w:rsidP="00494EF1">
            <w:pPr>
              <w:spacing w:after="0" w:line="240" w:lineRule="auto"/>
              <w:jc w:val="both"/>
              <w:rPr>
                <w:color w:val="7030A0"/>
              </w:rPr>
            </w:pPr>
          </w:p>
          <w:p w14:paraId="2996CFB6" w14:textId="77777777" w:rsidR="001338F9" w:rsidRDefault="001338F9" w:rsidP="00494EF1">
            <w:pPr>
              <w:spacing w:after="0" w:line="240" w:lineRule="auto"/>
              <w:jc w:val="both"/>
            </w:pPr>
          </w:p>
        </w:tc>
        <w:tc>
          <w:tcPr>
            <w:tcW w:w="11056" w:type="dxa"/>
            <w:tcBorders>
              <w:bottom w:val="single" w:sz="4" w:space="0" w:color="000000"/>
            </w:tcBorders>
          </w:tcPr>
          <w:p w14:paraId="19AB4C11" w14:textId="77777777" w:rsidR="001338F9" w:rsidRPr="001338F9" w:rsidRDefault="001338F9" w:rsidP="00494EF1">
            <w:pPr>
              <w:spacing w:after="0" w:line="240" w:lineRule="auto"/>
              <w:jc w:val="both"/>
              <w:rPr>
                <w:rFonts w:cs="Calibri"/>
                <w:i/>
                <w:color w:val="000000" w:themeColor="text1"/>
              </w:rPr>
            </w:pPr>
            <w:r w:rsidRPr="001338F9">
              <w:rPr>
                <w:rFonts w:cs="Calibri"/>
                <w:i/>
                <w:color w:val="000000" w:themeColor="text1"/>
              </w:rPr>
              <w:t>Les éléments constitutifs des documents commerciaux </w:t>
            </w:r>
          </w:p>
          <w:p w14:paraId="5B91DE93" w14:textId="77777777" w:rsidR="001338F9" w:rsidRPr="001338F9" w:rsidRDefault="001338F9" w:rsidP="00494EF1">
            <w:pPr>
              <w:spacing w:after="0" w:line="240" w:lineRule="auto"/>
              <w:jc w:val="both"/>
              <w:rPr>
                <w:rFonts w:cs="Calibri"/>
                <w:i/>
                <w:color w:val="000000" w:themeColor="text1"/>
              </w:rPr>
            </w:pPr>
            <w:r w:rsidRPr="001338F9">
              <w:rPr>
                <w:rFonts w:cs="Calibri"/>
                <w:i/>
                <w:color w:val="000000" w:themeColor="text1"/>
              </w:rPr>
              <w:t>La chaîne chronologique des documents commerciaux :  Bon de commande, bon de livraison, devis, facture et avoir.</w:t>
            </w:r>
          </w:p>
          <w:p w14:paraId="0614824D" w14:textId="77777777" w:rsidR="001338F9" w:rsidRPr="001338F9" w:rsidRDefault="001338F9" w:rsidP="001338F9">
            <w:pPr>
              <w:spacing w:after="0" w:line="240" w:lineRule="auto"/>
              <w:rPr>
                <w:rFonts w:cs="Calibri"/>
                <w:i/>
                <w:color w:val="D60093"/>
              </w:rPr>
            </w:pPr>
            <w:r w:rsidRPr="001338F9">
              <w:rPr>
                <w:rFonts w:cs="Calibri"/>
                <w:i/>
                <w:color w:val="D60093"/>
              </w:rPr>
              <w:t>La réglementation en matière de documents commerciaux</w:t>
            </w:r>
          </w:p>
          <w:p w14:paraId="5BD76FBB" w14:textId="77777777" w:rsidR="001338F9" w:rsidRPr="001338F9" w:rsidRDefault="001338F9" w:rsidP="00494EF1">
            <w:pPr>
              <w:spacing w:after="0" w:line="240" w:lineRule="auto"/>
              <w:jc w:val="both"/>
              <w:rPr>
                <w:rFonts w:cs="Calibri"/>
                <w:i/>
                <w:color w:val="D60093"/>
              </w:rPr>
            </w:pPr>
            <w:r w:rsidRPr="001338F9">
              <w:rPr>
                <w:rFonts w:cs="Calibri"/>
                <w:i/>
                <w:color w:val="D60093"/>
              </w:rPr>
              <w:t>Les mentions obligatoires de la facture</w:t>
            </w:r>
          </w:p>
          <w:p w14:paraId="72E635C4" w14:textId="77777777" w:rsidR="001338F9" w:rsidRPr="001338F9" w:rsidRDefault="001338F9" w:rsidP="00494EF1">
            <w:pPr>
              <w:spacing w:after="0" w:line="240" w:lineRule="auto"/>
              <w:jc w:val="both"/>
              <w:rPr>
                <w:rFonts w:cs="Calibri"/>
                <w:i/>
                <w:color w:val="D60093"/>
              </w:rPr>
            </w:pPr>
            <w:r w:rsidRPr="001338F9">
              <w:rPr>
                <w:rFonts w:cs="Calibri"/>
                <w:i/>
                <w:color w:val="D60093"/>
              </w:rPr>
              <w:t>Les conséquences juridiques de l’émission d’une facture en termes de droits et d’obligations des parties</w:t>
            </w:r>
          </w:p>
          <w:p w14:paraId="04A9A26F" w14:textId="77777777" w:rsidR="001338F9" w:rsidRPr="001338F9" w:rsidRDefault="001338F9" w:rsidP="00494EF1">
            <w:pPr>
              <w:spacing w:after="0" w:line="240" w:lineRule="auto"/>
              <w:jc w:val="both"/>
              <w:rPr>
                <w:rFonts w:cs="Calibri"/>
                <w:i/>
                <w:color w:val="000000" w:themeColor="text1"/>
              </w:rPr>
            </w:pPr>
            <w:r w:rsidRPr="001338F9">
              <w:rPr>
                <w:rFonts w:cs="Calibri"/>
                <w:i/>
                <w:color w:val="000000" w:themeColor="text1"/>
              </w:rPr>
              <w:t>Les réductions commerciales et financières</w:t>
            </w:r>
          </w:p>
          <w:p w14:paraId="7AC9241C" w14:textId="77777777" w:rsidR="001338F9" w:rsidRPr="001338F9" w:rsidRDefault="001338F9" w:rsidP="00494EF1">
            <w:pPr>
              <w:spacing w:after="0" w:line="240" w:lineRule="auto"/>
              <w:jc w:val="both"/>
              <w:rPr>
                <w:rFonts w:cs="Calibri"/>
                <w:i/>
                <w:color w:val="000000" w:themeColor="text1"/>
              </w:rPr>
            </w:pPr>
            <w:r w:rsidRPr="001338F9">
              <w:rPr>
                <w:rFonts w:cs="Calibri"/>
                <w:i/>
                <w:color w:val="000000" w:themeColor="text1"/>
              </w:rPr>
              <w:lastRenderedPageBreak/>
              <w:t>La TVA : mécanismes de collecte et de règlement</w:t>
            </w:r>
          </w:p>
          <w:p w14:paraId="117B3153" w14:textId="77777777" w:rsidR="001338F9" w:rsidRPr="001338F9" w:rsidRDefault="001338F9" w:rsidP="00494EF1">
            <w:pPr>
              <w:spacing w:after="0" w:line="240" w:lineRule="auto"/>
              <w:jc w:val="both"/>
              <w:rPr>
                <w:rFonts w:cs="Calibri"/>
                <w:i/>
                <w:color w:val="D60093"/>
              </w:rPr>
            </w:pPr>
            <w:r w:rsidRPr="001338F9">
              <w:rPr>
                <w:rFonts w:cs="Calibri"/>
                <w:i/>
                <w:color w:val="D60093"/>
              </w:rPr>
              <w:t>Les conditions générales de vente</w:t>
            </w:r>
          </w:p>
        </w:tc>
      </w:tr>
      <w:tr w:rsidR="001338F9" w14:paraId="19A7A597" w14:textId="77777777" w:rsidTr="00494EF1">
        <w:tc>
          <w:tcPr>
            <w:tcW w:w="3573" w:type="dxa"/>
            <w:tcBorders>
              <w:bottom w:val="single" w:sz="4" w:space="0" w:color="000000"/>
            </w:tcBorders>
          </w:tcPr>
          <w:p w14:paraId="68EF32B6" w14:textId="77777777" w:rsidR="001338F9" w:rsidRDefault="001338F9" w:rsidP="00494EF1">
            <w:pPr>
              <w:spacing w:after="0" w:line="240" w:lineRule="auto"/>
              <w:jc w:val="both"/>
            </w:pPr>
            <w:r>
              <w:lastRenderedPageBreak/>
              <w:t>Les opérations de règlement</w:t>
            </w:r>
          </w:p>
          <w:p w14:paraId="3B796648" w14:textId="77777777" w:rsidR="001338F9" w:rsidRDefault="001338F9" w:rsidP="00494EF1">
            <w:pPr>
              <w:spacing w:after="0" w:line="240" w:lineRule="auto"/>
              <w:jc w:val="both"/>
              <w:rPr>
                <w:color w:val="7030A0"/>
              </w:rPr>
            </w:pPr>
          </w:p>
          <w:p w14:paraId="3B559CCB" w14:textId="77777777" w:rsidR="001338F9" w:rsidRDefault="001338F9" w:rsidP="00494EF1">
            <w:pPr>
              <w:spacing w:after="0" w:line="240" w:lineRule="auto"/>
              <w:jc w:val="both"/>
              <w:rPr>
                <w:color w:val="7030A0"/>
              </w:rPr>
            </w:pPr>
          </w:p>
          <w:p w14:paraId="5E6CD9E8" w14:textId="77777777" w:rsidR="001338F9" w:rsidRDefault="001338F9" w:rsidP="00494EF1">
            <w:pPr>
              <w:spacing w:after="0" w:line="240" w:lineRule="auto"/>
              <w:jc w:val="both"/>
              <w:rPr>
                <w:color w:val="7030A0"/>
              </w:rPr>
            </w:pPr>
          </w:p>
          <w:p w14:paraId="10F08209" w14:textId="77777777" w:rsidR="001338F9" w:rsidRDefault="001338F9" w:rsidP="00494EF1">
            <w:pPr>
              <w:spacing w:after="0" w:line="240" w:lineRule="auto"/>
              <w:jc w:val="both"/>
              <w:rPr>
                <w:color w:val="7030A0"/>
              </w:rPr>
            </w:pPr>
          </w:p>
          <w:p w14:paraId="75B94432" w14:textId="77777777" w:rsidR="001338F9" w:rsidRDefault="001338F9" w:rsidP="00494EF1">
            <w:pPr>
              <w:spacing w:after="0" w:line="240" w:lineRule="auto"/>
              <w:jc w:val="both"/>
              <w:rPr>
                <w:color w:val="7030A0"/>
              </w:rPr>
            </w:pPr>
          </w:p>
          <w:p w14:paraId="5F7A2374" w14:textId="77777777" w:rsidR="001338F9" w:rsidRDefault="001338F9" w:rsidP="00494EF1">
            <w:pPr>
              <w:spacing w:after="0" w:line="240" w:lineRule="auto"/>
              <w:jc w:val="both"/>
              <w:rPr>
                <w:color w:val="7030A0"/>
              </w:rPr>
            </w:pPr>
          </w:p>
        </w:tc>
        <w:tc>
          <w:tcPr>
            <w:tcW w:w="11056" w:type="dxa"/>
            <w:tcBorders>
              <w:bottom w:val="single" w:sz="4" w:space="0" w:color="000000"/>
            </w:tcBorders>
          </w:tcPr>
          <w:p w14:paraId="6BAF0B8E" w14:textId="77777777" w:rsidR="001338F9" w:rsidRPr="001338F9" w:rsidRDefault="001338F9" w:rsidP="00494EF1">
            <w:pPr>
              <w:spacing w:after="0" w:line="240" w:lineRule="auto"/>
              <w:jc w:val="both"/>
              <w:rPr>
                <w:color w:val="000000" w:themeColor="text1"/>
              </w:rPr>
            </w:pPr>
            <w:r w:rsidRPr="001338F9">
              <w:rPr>
                <w:color w:val="000000" w:themeColor="text1"/>
              </w:rPr>
              <w:t>Les modes de règlement fournisseurs et clients</w:t>
            </w:r>
          </w:p>
          <w:p w14:paraId="355B2E70" w14:textId="77777777" w:rsidR="001338F9" w:rsidRPr="001338F9" w:rsidRDefault="001338F9" w:rsidP="00494EF1">
            <w:pPr>
              <w:spacing w:after="0" w:line="240" w:lineRule="auto"/>
              <w:rPr>
                <w:i/>
                <w:color w:val="000000" w:themeColor="text1"/>
              </w:rPr>
            </w:pPr>
            <w:r w:rsidRPr="001338F9">
              <w:rPr>
                <w:i/>
                <w:color w:val="000000" w:themeColor="text1"/>
              </w:rPr>
              <w:t>Espèces, chèques, virements, prélèvements, effets de commerce, cartes de paiement ; le paiement sans contact, les solutions de paiement mobiles.</w:t>
            </w:r>
          </w:p>
          <w:p w14:paraId="06114F3D" w14:textId="77777777" w:rsidR="001338F9" w:rsidRPr="001338F9" w:rsidRDefault="001338F9" w:rsidP="00494EF1">
            <w:pPr>
              <w:spacing w:after="0" w:line="240" w:lineRule="auto"/>
              <w:rPr>
                <w:i/>
                <w:color w:val="000000" w:themeColor="text1"/>
              </w:rPr>
            </w:pPr>
            <w:r w:rsidRPr="001338F9">
              <w:rPr>
                <w:i/>
                <w:color w:val="000000" w:themeColor="text1"/>
              </w:rPr>
              <w:t>Les enjeux des délais de paiement des fournisseurs.</w:t>
            </w:r>
          </w:p>
          <w:p w14:paraId="611994C0" w14:textId="77777777" w:rsidR="001338F9" w:rsidRPr="001338F9" w:rsidRDefault="001338F9" w:rsidP="00494EF1">
            <w:pPr>
              <w:spacing w:after="0" w:line="240" w:lineRule="auto"/>
              <w:jc w:val="both"/>
              <w:rPr>
                <w:color w:val="000000" w:themeColor="text1"/>
              </w:rPr>
            </w:pPr>
            <w:r w:rsidRPr="001338F9">
              <w:rPr>
                <w:color w:val="000000" w:themeColor="text1"/>
              </w:rPr>
              <w:t>Les outils de règlements</w:t>
            </w:r>
          </w:p>
          <w:p w14:paraId="2D6C6F6E" w14:textId="77777777" w:rsidR="001338F9" w:rsidRPr="001338F9" w:rsidRDefault="001338F9" w:rsidP="00494EF1">
            <w:pPr>
              <w:spacing w:after="0" w:line="240" w:lineRule="auto"/>
              <w:rPr>
                <w:i/>
                <w:color w:val="000000" w:themeColor="text1"/>
              </w:rPr>
            </w:pPr>
            <w:r w:rsidRPr="001338F9">
              <w:rPr>
                <w:i/>
                <w:color w:val="000000" w:themeColor="text1"/>
              </w:rPr>
              <w:t>Les règlements clients par terminaux de points de vente et tout outil de règlement virtuel.</w:t>
            </w:r>
          </w:p>
          <w:p w14:paraId="33FB9518" w14:textId="77777777" w:rsidR="001338F9" w:rsidRPr="001338F9" w:rsidRDefault="001338F9" w:rsidP="00494EF1">
            <w:pPr>
              <w:spacing w:after="0" w:line="240" w:lineRule="auto"/>
              <w:rPr>
                <w:i/>
                <w:color w:val="000000" w:themeColor="text1"/>
              </w:rPr>
            </w:pPr>
            <w:r w:rsidRPr="001338F9">
              <w:rPr>
                <w:i/>
                <w:color w:val="000000" w:themeColor="text1"/>
              </w:rPr>
              <w:t>Le coût des outils de règlement.</w:t>
            </w:r>
          </w:p>
          <w:p w14:paraId="55939428" w14:textId="77777777" w:rsidR="001338F9" w:rsidRPr="00603444" w:rsidRDefault="001338F9" w:rsidP="00494EF1">
            <w:pPr>
              <w:spacing w:after="0" w:line="240" w:lineRule="auto"/>
              <w:jc w:val="both"/>
              <w:rPr>
                <w:color w:val="7030A0"/>
              </w:rPr>
            </w:pPr>
            <w:r w:rsidRPr="008E2A21">
              <w:rPr>
                <w:rFonts w:cs="Calibri"/>
                <w:i/>
                <w:color w:val="D60093"/>
              </w:rPr>
              <w:t>Les délais de paiement et leur cadre juridique</w:t>
            </w:r>
          </w:p>
        </w:tc>
      </w:tr>
      <w:tr w:rsidR="001338F9" w14:paraId="326281C6" w14:textId="77777777" w:rsidTr="00494EF1">
        <w:tc>
          <w:tcPr>
            <w:tcW w:w="3573" w:type="dxa"/>
            <w:tcBorders>
              <w:bottom w:val="single" w:sz="4" w:space="0" w:color="000000"/>
            </w:tcBorders>
          </w:tcPr>
          <w:p w14:paraId="4F884A47" w14:textId="77777777" w:rsidR="001338F9" w:rsidRDefault="001338F9" w:rsidP="00494EF1">
            <w:pPr>
              <w:spacing w:after="0" w:line="240" w:lineRule="auto"/>
              <w:jc w:val="both"/>
            </w:pPr>
            <w:r>
              <w:t>Les stocks et les approvisionnements</w:t>
            </w:r>
          </w:p>
          <w:p w14:paraId="3A965704" w14:textId="77777777" w:rsidR="001338F9" w:rsidRDefault="001338F9" w:rsidP="00494EF1">
            <w:pPr>
              <w:spacing w:after="0" w:line="240" w:lineRule="auto"/>
              <w:jc w:val="both"/>
              <w:rPr>
                <w:color w:val="7030A0"/>
              </w:rPr>
            </w:pPr>
          </w:p>
          <w:p w14:paraId="34950A66" w14:textId="77777777" w:rsidR="001338F9" w:rsidRDefault="001338F9" w:rsidP="00494EF1">
            <w:pPr>
              <w:spacing w:after="0" w:line="240" w:lineRule="auto"/>
              <w:jc w:val="both"/>
              <w:rPr>
                <w:color w:val="7030A0"/>
              </w:rPr>
            </w:pPr>
          </w:p>
          <w:p w14:paraId="54BCABA4" w14:textId="77777777" w:rsidR="001338F9" w:rsidRDefault="001338F9" w:rsidP="00494EF1">
            <w:pPr>
              <w:spacing w:after="0" w:line="240" w:lineRule="auto"/>
              <w:jc w:val="both"/>
              <w:rPr>
                <w:color w:val="7030A0"/>
              </w:rPr>
            </w:pPr>
          </w:p>
          <w:p w14:paraId="6511A272" w14:textId="77777777" w:rsidR="001338F9" w:rsidRDefault="001338F9" w:rsidP="00494EF1">
            <w:pPr>
              <w:spacing w:after="0" w:line="240" w:lineRule="auto"/>
              <w:jc w:val="both"/>
              <w:rPr>
                <w:color w:val="7030A0"/>
              </w:rPr>
            </w:pPr>
          </w:p>
          <w:p w14:paraId="7091D085" w14:textId="77777777" w:rsidR="001338F9" w:rsidRDefault="001338F9" w:rsidP="00494EF1">
            <w:pPr>
              <w:spacing w:after="0" w:line="240" w:lineRule="auto"/>
              <w:jc w:val="both"/>
              <w:rPr>
                <w:color w:val="7030A0"/>
              </w:rPr>
            </w:pPr>
          </w:p>
          <w:p w14:paraId="24F967BE" w14:textId="77777777" w:rsidR="001338F9" w:rsidRDefault="001338F9" w:rsidP="00494EF1">
            <w:pPr>
              <w:spacing w:after="0" w:line="240" w:lineRule="auto"/>
              <w:jc w:val="both"/>
              <w:rPr>
                <w:color w:val="7030A0"/>
              </w:rPr>
            </w:pPr>
          </w:p>
          <w:p w14:paraId="0F0DAD62" w14:textId="77777777" w:rsidR="001338F9" w:rsidRDefault="001338F9" w:rsidP="00494EF1">
            <w:pPr>
              <w:spacing w:after="0" w:line="240" w:lineRule="auto"/>
              <w:jc w:val="both"/>
              <w:rPr>
                <w:color w:val="7030A0"/>
              </w:rPr>
            </w:pPr>
          </w:p>
          <w:p w14:paraId="1AC13569" w14:textId="77777777" w:rsidR="001338F9" w:rsidRDefault="001338F9" w:rsidP="00494EF1">
            <w:pPr>
              <w:spacing w:after="0" w:line="240" w:lineRule="auto"/>
              <w:jc w:val="both"/>
              <w:rPr>
                <w:color w:val="7030A0"/>
              </w:rPr>
            </w:pPr>
          </w:p>
          <w:p w14:paraId="012AC874" w14:textId="77777777" w:rsidR="001338F9" w:rsidRDefault="001338F9" w:rsidP="00494EF1">
            <w:pPr>
              <w:spacing w:after="0" w:line="240" w:lineRule="auto"/>
              <w:jc w:val="both"/>
              <w:rPr>
                <w:color w:val="7030A0"/>
              </w:rPr>
            </w:pPr>
          </w:p>
          <w:p w14:paraId="6158AC4E" w14:textId="77777777" w:rsidR="001338F9" w:rsidRDefault="001338F9" w:rsidP="00494EF1">
            <w:pPr>
              <w:spacing w:after="0" w:line="240" w:lineRule="auto"/>
              <w:jc w:val="both"/>
              <w:rPr>
                <w:color w:val="7030A0"/>
              </w:rPr>
            </w:pPr>
          </w:p>
          <w:p w14:paraId="21D725F3" w14:textId="77777777" w:rsidR="001338F9" w:rsidRDefault="001338F9" w:rsidP="00494EF1">
            <w:pPr>
              <w:spacing w:after="0" w:line="240" w:lineRule="auto"/>
              <w:jc w:val="both"/>
              <w:rPr>
                <w:color w:val="7030A0"/>
              </w:rPr>
            </w:pPr>
          </w:p>
          <w:p w14:paraId="55D792A6" w14:textId="77777777" w:rsidR="001338F9" w:rsidRDefault="001338F9" w:rsidP="00494EF1">
            <w:pPr>
              <w:spacing w:after="0" w:line="240" w:lineRule="auto"/>
              <w:jc w:val="both"/>
              <w:rPr>
                <w:color w:val="7030A0"/>
              </w:rPr>
            </w:pPr>
          </w:p>
          <w:p w14:paraId="4A21CD0F" w14:textId="77777777" w:rsidR="001338F9" w:rsidRDefault="001338F9" w:rsidP="00494EF1">
            <w:pPr>
              <w:spacing w:after="0" w:line="240" w:lineRule="auto"/>
              <w:rPr>
                <w:color w:val="7030A0"/>
              </w:rPr>
            </w:pPr>
          </w:p>
          <w:p w14:paraId="0DC4A1BA" w14:textId="77777777" w:rsidR="001338F9" w:rsidRDefault="001338F9" w:rsidP="00494EF1">
            <w:pPr>
              <w:spacing w:after="0" w:line="240" w:lineRule="auto"/>
              <w:rPr>
                <w:color w:val="7030A0"/>
              </w:rPr>
            </w:pPr>
          </w:p>
          <w:p w14:paraId="4B7D17EA" w14:textId="77777777" w:rsidR="001338F9" w:rsidRDefault="001338F9" w:rsidP="00494EF1">
            <w:pPr>
              <w:spacing w:after="0" w:line="240" w:lineRule="auto"/>
              <w:rPr>
                <w:color w:val="7030A0"/>
              </w:rPr>
            </w:pPr>
          </w:p>
          <w:p w14:paraId="190B4074" w14:textId="77777777" w:rsidR="001338F9" w:rsidRDefault="001338F9" w:rsidP="00494EF1">
            <w:pPr>
              <w:spacing w:after="0" w:line="240" w:lineRule="auto"/>
              <w:rPr>
                <w:color w:val="7030A0"/>
              </w:rPr>
            </w:pPr>
          </w:p>
          <w:p w14:paraId="5FB470D0" w14:textId="77777777" w:rsidR="001338F9" w:rsidRDefault="001338F9" w:rsidP="00494EF1">
            <w:pPr>
              <w:spacing w:after="0" w:line="240" w:lineRule="auto"/>
              <w:rPr>
                <w:color w:val="7030A0"/>
              </w:rPr>
            </w:pPr>
          </w:p>
          <w:p w14:paraId="2858D120" w14:textId="77777777" w:rsidR="001338F9" w:rsidRDefault="001338F9" w:rsidP="00494EF1">
            <w:pPr>
              <w:spacing w:after="0" w:line="240" w:lineRule="auto"/>
            </w:pPr>
          </w:p>
        </w:tc>
        <w:tc>
          <w:tcPr>
            <w:tcW w:w="11056" w:type="dxa"/>
            <w:tcBorders>
              <w:bottom w:val="single" w:sz="4" w:space="0" w:color="000000"/>
            </w:tcBorders>
          </w:tcPr>
          <w:p w14:paraId="725B923D" w14:textId="77777777" w:rsidR="001338F9" w:rsidRPr="008E2A21" w:rsidRDefault="001338F9" w:rsidP="00494EF1">
            <w:pPr>
              <w:spacing w:after="0" w:line="240" w:lineRule="auto"/>
              <w:jc w:val="both"/>
              <w:rPr>
                <w:color w:val="000000" w:themeColor="text1"/>
              </w:rPr>
            </w:pPr>
            <w:r w:rsidRPr="008E2A21">
              <w:rPr>
                <w:color w:val="000000" w:themeColor="text1"/>
              </w:rPr>
              <w:t>Les enjeux stratégiques de la gestion des stocks</w:t>
            </w:r>
          </w:p>
          <w:p w14:paraId="3E06114A" w14:textId="77777777" w:rsidR="001338F9" w:rsidRPr="008E2A21" w:rsidRDefault="001338F9" w:rsidP="00494EF1">
            <w:pPr>
              <w:spacing w:after="0" w:line="240" w:lineRule="auto"/>
              <w:rPr>
                <w:i/>
                <w:color w:val="000000" w:themeColor="text1"/>
              </w:rPr>
            </w:pPr>
            <w:r w:rsidRPr="008E2A21">
              <w:rPr>
                <w:i/>
                <w:color w:val="000000" w:themeColor="text1"/>
              </w:rPr>
              <w:t>Les modèles de gestion des stocks par exception :20/80 ou ABC.</w:t>
            </w:r>
          </w:p>
          <w:p w14:paraId="09D229B7" w14:textId="77777777" w:rsidR="001338F9" w:rsidRPr="008E2A21" w:rsidRDefault="001338F9" w:rsidP="00494EF1">
            <w:pPr>
              <w:spacing w:after="0" w:line="240" w:lineRule="auto"/>
              <w:jc w:val="both"/>
              <w:rPr>
                <w:color w:val="000000" w:themeColor="text1"/>
              </w:rPr>
            </w:pPr>
            <w:r w:rsidRPr="008E2A21">
              <w:rPr>
                <w:color w:val="000000" w:themeColor="text1"/>
              </w:rPr>
              <w:t>Les indicateurs de gestion des stocks </w:t>
            </w:r>
          </w:p>
          <w:p w14:paraId="5E96FF2F" w14:textId="77777777" w:rsidR="001338F9" w:rsidRPr="008E2A21" w:rsidRDefault="001338F9" w:rsidP="00494EF1">
            <w:pPr>
              <w:spacing w:after="0" w:line="240" w:lineRule="auto"/>
              <w:rPr>
                <w:i/>
                <w:color w:val="000000" w:themeColor="text1"/>
              </w:rPr>
            </w:pPr>
            <w:r w:rsidRPr="008E2A21">
              <w:rPr>
                <w:i/>
                <w:color w:val="000000" w:themeColor="text1"/>
              </w:rPr>
              <w:t>Les mouvements physiques de produits et de marchandises dans l’unité commerciale.</w:t>
            </w:r>
          </w:p>
          <w:p w14:paraId="61C8A6A2" w14:textId="77777777" w:rsidR="001338F9" w:rsidRPr="008E2A21" w:rsidRDefault="001338F9" w:rsidP="00494EF1">
            <w:pPr>
              <w:spacing w:after="0" w:line="240" w:lineRule="auto"/>
              <w:rPr>
                <w:i/>
                <w:color w:val="000000" w:themeColor="text1"/>
              </w:rPr>
            </w:pPr>
            <w:r w:rsidRPr="008E2A21">
              <w:rPr>
                <w:i/>
                <w:color w:val="000000" w:themeColor="text1"/>
              </w:rPr>
              <w:t>Les notions de stock minimum, stock de sécurité, stock d’alerte, stock moyen, taux de rotation, durée moyenne de stockage.</w:t>
            </w:r>
          </w:p>
          <w:p w14:paraId="69AD78A7" w14:textId="77777777" w:rsidR="001338F9" w:rsidRPr="008E2A21" w:rsidRDefault="001338F9" w:rsidP="00494EF1">
            <w:pPr>
              <w:spacing w:after="0" w:line="240" w:lineRule="auto"/>
              <w:jc w:val="both"/>
              <w:rPr>
                <w:rFonts w:cs="Calibri"/>
                <w:i/>
                <w:color w:val="D60093"/>
              </w:rPr>
            </w:pPr>
            <w:r w:rsidRPr="008E2A21">
              <w:rPr>
                <w:rFonts w:cs="Calibri"/>
                <w:i/>
                <w:color w:val="D60093"/>
              </w:rPr>
              <w:t>L’obligation d’inventaire</w:t>
            </w:r>
          </w:p>
          <w:p w14:paraId="3EFA9CC6" w14:textId="77777777" w:rsidR="001338F9" w:rsidRPr="008E2A21" w:rsidRDefault="001338F9" w:rsidP="00494EF1">
            <w:pPr>
              <w:spacing w:after="0" w:line="240" w:lineRule="auto"/>
              <w:rPr>
                <w:i/>
                <w:color w:val="000000" w:themeColor="text1"/>
              </w:rPr>
            </w:pPr>
            <w:r w:rsidRPr="008E2A21">
              <w:rPr>
                <w:i/>
                <w:color w:val="000000" w:themeColor="text1"/>
              </w:rPr>
              <w:t>Les notions d’inventaire intermittent, permanent et tournant</w:t>
            </w:r>
          </w:p>
          <w:p w14:paraId="2F5D264E" w14:textId="77777777" w:rsidR="001338F9" w:rsidRPr="008E2A21" w:rsidRDefault="001338F9" w:rsidP="00494EF1">
            <w:pPr>
              <w:spacing w:after="0" w:line="240" w:lineRule="auto"/>
              <w:rPr>
                <w:i/>
                <w:color w:val="000000" w:themeColor="text1"/>
              </w:rPr>
            </w:pPr>
            <w:r w:rsidRPr="008E2A21">
              <w:rPr>
                <w:i/>
                <w:color w:val="000000" w:themeColor="text1"/>
              </w:rPr>
              <w:t>Stock théorique, stock réel</w:t>
            </w:r>
          </w:p>
          <w:p w14:paraId="23935807" w14:textId="77777777" w:rsidR="001338F9" w:rsidRPr="008E2A21" w:rsidRDefault="001338F9" w:rsidP="00494EF1">
            <w:pPr>
              <w:spacing w:after="0" w:line="240" w:lineRule="auto"/>
              <w:rPr>
                <w:i/>
                <w:color w:val="000000" w:themeColor="text1"/>
              </w:rPr>
            </w:pPr>
            <w:r w:rsidRPr="008E2A21">
              <w:rPr>
                <w:i/>
                <w:color w:val="000000" w:themeColor="text1"/>
              </w:rPr>
              <w:t>La démarque inconnue</w:t>
            </w:r>
          </w:p>
          <w:p w14:paraId="66A4C847" w14:textId="77777777" w:rsidR="001338F9" w:rsidRPr="008E2A21" w:rsidRDefault="001338F9" w:rsidP="00494EF1">
            <w:pPr>
              <w:spacing w:after="0" w:line="240" w:lineRule="auto"/>
              <w:rPr>
                <w:color w:val="000000" w:themeColor="text1"/>
              </w:rPr>
            </w:pPr>
            <w:r w:rsidRPr="008E2A21">
              <w:rPr>
                <w:color w:val="000000" w:themeColor="text1"/>
              </w:rPr>
              <w:t>L’impact de la rotation des stocks sur la rentabilité</w:t>
            </w:r>
          </w:p>
          <w:p w14:paraId="5AA42D6C" w14:textId="77777777" w:rsidR="001338F9" w:rsidRPr="008E2A21" w:rsidRDefault="001338F9" w:rsidP="00494EF1">
            <w:pPr>
              <w:spacing w:after="0" w:line="240" w:lineRule="auto"/>
              <w:rPr>
                <w:color w:val="000000" w:themeColor="text1"/>
              </w:rPr>
            </w:pPr>
            <w:r w:rsidRPr="008E2A21">
              <w:rPr>
                <w:color w:val="000000" w:themeColor="text1"/>
              </w:rPr>
              <w:t>Les méthodes de valorisation des stocks </w:t>
            </w:r>
          </w:p>
          <w:p w14:paraId="676F7C12" w14:textId="77777777" w:rsidR="001338F9" w:rsidRPr="008E2A21" w:rsidRDefault="001338F9" w:rsidP="00494EF1">
            <w:pPr>
              <w:spacing w:after="0" w:line="240" w:lineRule="auto"/>
              <w:rPr>
                <w:i/>
                <w:color w:val="000000" w:themeColor="text1"/>
              </w:rPr>
            </w:pPr>
            <w:r w:rsidRPr="008E2A21">
              <w:rPr>
                <w:i/>
                <w:color w:val="000000" w:themeColor="text1"/>
              </w:rPr>
              <w:t>L’évaluation par moyenne (coût unitaire moyen pondéré) et évaluation par lots (premier entré – premier sorti ; dernier entré – premier sorti).</w:t>
            </w:r>
          </w:p>
          <w:p w14:paraId="3AF7B7B3" w14:textId="77777777" w:rsidR="001338F9" w:rsidRPr="008E2A21" w:rsidRDefault="001338F9" w:rsidP="00494EF1">
            <w:pPr>
              <w:spacing w:after="0" w:line="240" w:lineRule="auto"/>
              <w:rPr>
                <w:color w:val="000000" w:themeColor="text1"/>
              </w:rPr>
            </w:pPr>
            <w:r w:rsidRPr="008E2A21">
              <w:rPr>
                <w:color w:val="000000" w:themeColor="text1"/>
              </w:rPr>
              <w:t>Le coût induit par la passation des commandes et la possession des stocks</w:t>
            </w:r>
          </w:p>
          <w:p w14:paraId="4C4F1CDA" w14:textId="77777777" w:rsidR="001338F9" w:rsidRPr="008E2A21" w:rsidRDefault="001338F9" w:rsidP="00494EF1">
            <w:pPr>
              <w:spacing w:after="0" w:line="240" w:lineRule="auto"/>
              <w:rPr>
                <w:i/>
                <w:color w:val="000000" w:themeColor="text1"/>
              </w:rPr>
            </w:pPr>
            <w:r w:rsidRPr="008E2A21">
              <w:rPr>
                <w:i/>
                <w:color w:val="000000" w:themeColor="text1"/>
              </w:rPr>
              <w:t>Les éléments constitutifs du coût de passation des commandes.</w:t>
            </w:r>
          </w:p>
          <w:p w14:paraId="1212B456" w14:textId="77777777" w:rsidR="001338F9" w:rsidRPr="008E2A21" w:rsidRDefault="001338F9" w:rsidP="00494EF1">
            <w:pPr>
              <w:spacing w:after="0" w:line="240" w:lineRule="auto"/>
              <w:rPr>
                <w:i/>
                <w:color w:val="000000" w:themeColor="text1"/>
              </w:rPr>
            </w:pPr>
            <w:r w:rsidRPr="008E2A21">
              <w:rPr>
                <w:i/>
                <w:color w:val="000000" w:themeColor="text1"/>
              </w:rPr>
              <w:t>Les éléments constitutifs du coût de possession des stocks.</w:t>
            </w:r>
          </w:p>
          <w:p w14:paraId="729CF240" w14:textId="77777777" w:rsidR="001338F9" w:rsidRPr="008E2A21" w:rsidRDefault="001338F9" w:rsidP="00494EF1">
            <w:pPr>
              <w:spacing w:after="0" w:line="240" w:lineRule="auto"/>
              <w:rPr>
                <w:color w:val="000000" w:themeColor="text1"/>
              </w:rPr>
            </w:pPr>
            <w:r w:rsidRPr="008E2A21">
              <w:rPr>
                <w:color w:val="000000" w:themeColor="text1"/>
              </w:rPr>
              <w:t>La gestion des approvisionnements</w:t>
            </w:r>
          </w:p>
          <w:p w14:paraId="0A066522" w14:textId="77777777" w:rsidR="001338F9" w:rsidRPr="00603444" w:rsidRDefault="001338F9" w:rsidP="00494EF1">
            <w:pPr>
              <w:spacing w:after="0" w:line="240" w:lineRule="auto"/>
              <w:rPr>
                <w:i/>
              </w:rPr>
            </w:pPr>
            <w:r w:rsidRPr="008E2A21">
              <w:rPr>
                <w:i/>
                <w:color w:val="000000" w:themeColor="text1"/>
              </w:rPr>
              <w:t>Les modèles de gestion des approvisionnements : gestion périodique et à point de commande, en univers certain.</w:t>
            </w:r>
          </w:p>
        </w:tc>
      </w:tr>
      <w:tr w:rsidR="001338F9" w14:paraId="3B070724" w14:textId="77777777" w:rsidTr="00494EF1">
        <w:tc>
          <w:tcPr>
            <w:tcW w:w="3573" w:type="dxa"/>
            <w:tcBorders>
              <w:bottom w:val="single" w:sz="4" w:space="0" w:color="000000"/>
            </w:tcBorders>
          </w:tcPr>
          <w:p w14:paraId="08195A28" w14:textId="77777777" w:rsidR="001338F9" w:rsidRDefault="001338F9" w:rsidP="00494EF1">
            <w:pPr>
              <w:spacing w:after="0" w:line="240" w:lineRule="auto"/>
              <w:jc w:val="both"/>
            </w:pPr>
            <w:r>
              <w:t>Le financement de l’exploitation</w:t>
            </w:r>
          </w:p>
          <w:p w14:paraId="4FA4601C" w14:textId="77777777" w:rsidR="001338F9" w:rsidRDefault="001338F9" w:rsidP="00494EF1">
            <w:pPr>
              <w:spacing w:after="0" w:line="240" w:lineRule="auto"/>
              <w:jc w:val="both"/>
            </w:pPr>
          </w:p>
        </w:tc>
        <w:tc>
          <w:tcPr>
            <w:tcW w:w="11056" w:type="dxa"/>
            <w:tcBorders>
              <w:bottom w:val="single" w:sz="4" w:space="0" w:color="000000"/>
            </w:tcBorders>
          </w:tcPr>
          <w:p w14:paraId="7007F91F" w14:textId="77777777" w:rsidR="001338F9" w:rsidRPr="008E2A21" w:rsidRDefault="001338F9" w:rsidP="00494EF1">
            <w:pPr>
              <w:spacing w:after="0" w:line="240" w:lineRule="auto"/>
              <w:jc w:val="both"/>
              <w:rPr>
                <w:color w:val="000000" w:themeColor="text1"/>
              </w:rPr>
            </w:pPr>
            <w:r w:rsidRPr="008E2A21">
              <w:rPr>
                <w:color w:val="000000" w:themeColor="text1"/>
              </w:rPr>
              <w:t>Les relations avec les banques et les moyens de financement de l’exploitation </w:t>
            </w:r>
          </w:p>
          <w:p w14:paraId="7CED0A20" w14:textId="77777777" w:rsidR="001338F9" w:rsidRPr="008E2A21" w:rsidRDefault="001338F9" w:rsidP="00494EF1">
            <w:pPr>
              <w:spacing w:after="0" w:line="240" w:lineRule="auto"/>
              <w:rPr>
                <w:i/>
                <w:color w:val="000000" w:themeColor="text1"/>
              </w:rPr>
            </w:pPr>
            <w:r w:rsidRPr="008E2A21">
              <w:rPr>
                <w:i/>
                <w:color w:val="000000" w:themeColor="text1"/>
              </w:rPr>
              <w:t>Les besoins de financement de l’exploitation</w:t>
            </w:r>
          </w:p>
          <w:p w14:paraId="2CAA752C" w14:textId="77777777" w:rsidR="001338F9" w:rsidRPr="008E2A21" w:rsidRDefault="001338F9" w:rsidP="00494EF1">
            <w:pPr>
              <w:spacing w:after="0" w:line="240" w:lineRule="auto"/>
              <w:rPr>
                <w:i/>
                <w:color w:val="000000" w:themeColor="text1"/>
              </w:rPr>
            </w:pPr>
            <w:r w:rsidRPr="008E2A21">
              <w:rPr>
                <w:i/>
                <w:color w:val="000000" w:themeColor="text1"/>
              </w:rPr>
              <w:t>Les modes de financement de l’exploitation : concours bancaires courants, encours clients, crédits de campagne.</w:t>
            </w:r>
          </w:p>
          <w:p w14:paraId="225DE317" w14:textId="77777777" w:rsidR="001338F9" w:rsidRPr="008E2A21" w:rsidRDefault="001338F9" w:rsidP="00494EF1">
            <w:pPr>
              <w:spacing w:after="0" w:line="240" w:lineRule="auto"/>
              <w:rPr>
                <w:i/>
                <w:color w:val="000000" w:themeColor="text1"/>
              </w:rPr>
            </w:pPr>
            <w:r w:rsidRPr="008E2A21">
              <w:rPr>
                <w:i/>
                <w:color w:val="000000" w:themeColor="text1"/>
              </w:rPr>
              <w:t>Le coût des moyens de financement de l’exploitation.</w:t>
            </w:r>
          </w:p>
          <w:p w14:paraId="06DDB57D" w14:textId="77777777" w:rsidR="001338F9" w:rsidRPr="008E2A21" w:rsidRDefault="001338F9" w:rsidP="00494EF1">
            <w:pPr>
              <w:spacing w:after="0" w:line="240" w:lineRule="auto"/>
              <w:rPr>
                <w:i/>
                <w:color w:val="000000" w:themeColor="text1"/>
              </w:rPr>
            </w:pPr>
          </w:p>
          <w:p w14:paraId="02881E82" w14:textId="77777777" w:rsidR="001338F9" w:rsidRPr="008E2A21" w:rsidRDefault="001338F9" w:rsidP="00494EF1">
            <w:pPr>
              <w:spacing w:after="0" w:line="240" w:lineRule="auto"/>
              <w:rPr>
                <w:i/>
                <w:color w:val="000000" w:themeColor="text1"/>
              </w:rPr>
            </w:pPr>
          </w:p>
        </w:tc>
      </w:tr>
      <w:tr w:rsidR="001338F9" w14:paraId="4F75655E" w14:textId="77777777" w:rsidTr="00494EF1">
        <w:tc>
          <w:tcPr>
            <w:tcW w:w="3573" w:type="dxa"/>
            <w:tcBorders>
              <w:bottom w:val="single" w:sz="4" w:space="0" w:color="000000"/>
            </w:tcBorders>
          </w:tcPr>
          <w:p w14:paraId="17A9C67A" w14:textId="77777777" w:rsidR="001338F9" w:rsidRDefault="001338F9" w:rsidP="00494EF1">
            <w:pPr>
              <w:spacing w:after="0" w:line="240" w:lineRule="auto"/>
              <w:jc w:val="both"/>
            </w:pPr>
            <w:r>
              <w:t>La trésorerie</w:t>
            </w:r>
          </w:p>
          <w:p w14:paraId="672FEAFE" w14:textId="77777777" w:rsidR="001338F9" w:rsidRDefault="001338F9" w:rsidP="00494EF1">
            <w:pPr>
              <w:spacing w:after="0" w:line="240" w:lineRule="auto"/>
              <w:rPr>
                <w:color w:val="7030A0"/>
              </w:rPr>
            </w:pPr>
          </w:p>
          <w:p w14:paraId="345706B7" w14:textId="77777777" w:rsidR="001338F9" w:rsidRDefault="001338F9" w:rsidP="00494EF1">
            <w:pPr>
              <w:spacing w:after="0" w:line="240" w:lineRule="auto"/>
            </w:pPr>
          </w:p>
        </w:tc>
        <w:tc>
          <w:tcPr>
            <w:tcW w:w="11056" w:type="dxa"/>
            <w:tcBorders>
              <w:bottom w:val="single" w:sz="4" w:space="0" w:color="000000"/>
            </w:tcBorders>
          </w:tcPr>
          <w:p w14:paraId="09A9584D" w14:textId="77777777" w:rsidR="001338F9" w:rsidRPr="008E2A21" w:rsidRDefault="001338F9" w:rsidP="00494EF1">
            <w:pPr>
              <w:spacing w:after="0" w:line="240" w:lineRule="auto"/>
              <w:rPr>
                <w:color w:val="000000" w:themeColor="text1"/>
              </w:rPr>
            </w:pPr>
            <w:r w:rsidRPr="008E2A21">
              <w:rPr>
                <w:color w:val="000000" w:themeColor="text1"/>
              </w:rPr>
              <w:t>L’impact des délais de règlement sur le cycle d’exploitation, le BFR et la situation de trésorerie</w:t>
            </w:r>
          </w:p>
          <w:p w14:paraId="40AD2FD4" w14:textId="77777777" w:rsidR="001338F9" w:rsidRPr="008E2A21" w:rsidRDefault="001338F9" w:rsidP="00494EF1">
            <w:pPr>
              <w:spacing w:after="0" w:line="240" w:lineRule="auto"/>
              <w:rPr>
                <w:color w:val="000000" w:themeColor="text1"/>
              </w:rPr>
            </w:pPr>
            <w:r w:rsidRPr="008E2A21">
              <w:rPr>
                <w:color w:val="000000" w:themeColor="text1"/>
              </w:rPr>
              <w:t>Les possibilités d’ajustement</w:t>
            </w:r>
          </w:p>
          <w:p w14:paraId="4F10B826" w14:textId="77777777" w:rsidR="001338F9" w:rsidRPr="008E2A21" w:rsidRDefault="001338F9" w:rsidP="00494EF1">
            <w:pPr>
              <w:spacing w:after="0" w:line="240" w:lineRule="auto"/>
              <w:jc w:val="both"/>
              <w:rPr>
                <w:i/>
                <w:color w:val="000000" w:themeColor="text1"/>
              </w:rPr>
            </w:pPr>
            <w:r w:rsidRPr="008E2A21">
              <w:rPr>
                <w:i/>
                <w:color w:val="000000" w:themeColor="text1"/>
              </w:rPr>
              <w:t>La variation des délais de paiement et de la durée moyenne de stockage.</w:t>
            </w:r>
          </w:p>
        </w:tc>
      </w:tr>
      <w:tr w:rsidR="001338F9" w14:paraId="4EDA00A7" w14:textId="77777777" w:rsidTr="00494EF1">
        <w:tc>
          <w:tcPr>
            <w:tcW w:w="3573" w:type="dxa"/>
            <w:tcBorders>
              <w:bottom w:val="single" w:sz="4" w:space="0" w:color="000000"/>
            </w:tcBorders>
          </w:tcPr>
          <w:p w14:paraId="65BE9FA3" w14:textId="77777777" w:rsidR="001338F9" w:rsidRDefault="001338F9" w:rsidP="00494EF1">
            <w:pPr>
              <w:spacing w:after="0" w:line="240" w:lineRule="auto"/>
              <w:jc w:val="both"/>
            </w:pPr>
            <w:r>
              <w:t>Le compte de résultat</w:t>
            </w:r>
          </w:p>
          <w:p w14:paraId="5CFF1DE9" w14:textId="77777777" w:rsidR="001338F9" w:rsidRDefault="001338F9" w:rsidP="00494EF1">
            <w:pPr>
              <w:spacing w:after="0" w:line="240" w:lineRule="auto"/>
              <w:rPr>
                <w:color w:val="7030A0"/>
              </w:rPr>
            </w:pPr>
          </w:p>
          <w:p w14:paraId="422B4A7D" w14:textId="77777777" w:rsidR="001338F9" w:rsidRDefault="001338F9" w:rsidP="00494EF1">
            <w:pPr>
              <w:spacing w:after="0" w:line="240" w:lineRule="auto"/>
              <w:rPr>
                <w:color w:val="7030A0"/>
              </w:rPr>
            </w:pPr>
          </w:p>
          <w:p w14:paraId="11D564E5" w14:textId="77777777" w:rsidR="001338F9" w:rsidRDefault="001338F9" w:rsidP="00494EF1">
            <w:pPr>
              <w:spacing w:after="0" w:line="240" w:lineRule="auto"/>
              <w:rPr>
                <w:color w:val="7030A0"/>
              </w:rPr>
            </w:pPr>
          </w:p>
          <w:p w14:paraId="428C639B" w14:textId="77777777" w:rsidR="001338F9" w:rsidRDefault="001338F9" w:rsidP="00494EF1">
            <w:pPr>
              <w:spacing w:after="0" w:line="240" w:lineRule="auto"/>
              <w:rPr>
                <w:color w:val="7030A0"/>
              </w:rPr>
            </w:pPr>
          </w:p>
          <w:p w14:paraId="1ED616EA" w14:textId="77777777" w:rsidR="001338F9" w:rsidRDefault="001338F9" w:rsidP="00494EF1">
            <w:pPr>
              <w:spacing w:after="0" w:line="240" w:lineRule="auto"/>
              <w:rPr>
                <w:color w:val="7030A0"/>
              </w:rPr>
            </w:pPr>
          </w:p>
          <w:p w14:paraId="1639CE2D" w14:textId="77777777" w:rsidR="001338F9" w:rsidRDefault="001338F9" w:rsidP="00494EF1">
            <w:pPr>
              <w:spacing w:after="0" w:line="240" w:lineRule="auto"/>
            </w:pPr>
          </w:p>
        </w:tc>
        <w:tc>
          <w:tcPr>
            <w:tcW w:w="11056" w:type="dxa"/>
            <w:tcBorders>
              <w:bottom w:val="single" w:sz="4" w:space="0" w:color="000000"/>
            </w:tcBorders>
          </w:tcPr>
          <w:p w14:paraId="42A74C8B" w14:textId="77777777" w:rsidR="001338F9" w:rsidRPr="008E2A21" w:rsidRDefault="001338F9" w:rsidP="00494EF1">
            <w:pPr>
              <w:spacing w:after="0" w:line="240" w:lineRule="auto"/>
              <w:rPr>
                <w:color w:val="000000" w:themeColor="text1"/>
              </w:rPr>
            </w:pPr>
            <w:r w:rsidRPr="008E2A21">
              <w:rPr>
                <w:color w:val="000000" w:themeColor="text1"/>
              </w:rPr>
              <w:lastRenderedPageBreak/>
              <w:t>La structure du compte de résultat</w:t>
            </w:r>
          </w:p>
          <w:p w14:paraId="2730532E" w14:textId="77777777" w:rsidR="001338F9" w:rsidRPr="008E2A21" w:rsidRDefault="001338F9" w:rsidP="00494EF1">
            <w:pPr>
              <w:spacing w:after="0" w:line="240" w:lineRule="auto"/>
              <w:rPr>
                <w:color w:val="000000" w:themeColor="text1"/>
              </w:rPr>
            </w:pPr>
            <w:r w:rsidRPr="008E2A21">
              <w:rPr>
                <w:color w:val="000000" w:themeColor="text1"/>
              </w:rPr>
              <w:t xml:space="preserve">L’analyse des résultats </w:t>
            </w:r>
          </w:p>
          <w:p w14:paraId="03F3C7A8" w14:textId="77777777" w:rsidR="001338F9" w:rsidRPr="008E2A21" w:rsidRDefault="001338F9" w:rsidP="00494EF1">
            <w:pPr>
              <w:spacing w:after="0" w:line="240" w:lineRule="auto"/>
              <w:rPr>
                <w:color w:val="000000" w:themeColor="text1"/>
              </w:rPr>
            </w:pPr>
            <w:r w:rsidRPr="008E2A21">
              <w:rPr>
                <w:color w:val="000000" w:themeColor="text1"/>
              </w:rPr>
              <w:lastRenderedPageBreak/>
              <w:t>Les notions de produits et charges (exploitation, financier, exceptionnel)</w:t>
            </w:r>
          </w:p>
          <w:p w14:paraId="3A3F377F" w14:textId="77777777" w:rsidR="001338F9" w:rsidRPr="008E2A21" w:rsidRDefault="001338F9" w:rsidP="00494EF1">
            <w:pPr>
              <w:spacing w:after="0" w:line="240" w:lineRule="auto"/>
              <w:rPr>
                <w:color w:val="000000" w:themeColor="text1"/>
              </w:rPr>
            </w:pPr>
            <w:r w:rsidRPr="008E2A21">
              <w:rPr>
                <w:color w:val="000000" w:themeColor="text1"/>
              </w:rPr>
              <w:t>Résultats d’exploitation, financier, exceptionnel</w:t>
            </w:r>
          </w:p>
          <w:p w14:paraId="2640D735" w14:textId="77777777" w:rsidR="001338F9" w:rsidRPr="008E2A21" w:rsidRDefault="001338F9" w:rsidP="00494EF1">
            <w:pPr>
              <w:spacing w:after="0" w:line="240" w:lineRule="auto"/>
              <w:rPr>
                <w:color w:val="000000" w:themeColor="text1"/>
              </w:rPr>
            </w:pPr>
            <w:r w:rsidRPr="008E2A21">
              <w:rPr>
                <w:color w:val="000000" w:themeColor="text1"/>
              </w:rPr>
              <w:t>L’analyse de l’exploitation et la rentabilité opérationnelle de l’activité</w:t>
            </w:r>
          </w:p>
          <w:p w14:paraId="208CDE74" w14:textId="77777777" w:rsidR="001338F9" w:rsidRPr="008E2A21" w:rsidRDefault="001338F9" w:rsidP="00494EF1">
            <w:pPr>
              <w:spacing w:after="0" w:line="240" w:lineRule="auto"/>
              <w:rPr>
                <w:color w:val="000000" w:themeColor="text1"/>
              </w:rPr>
            </w:pPr>
            <w:r w:rsidRPr="008E2A21">
              <w:rPr>
                <w:color w:val="000000" w:themeColor="text1"/>
              </w:rPr>
              <w:t>Le compte d’exploitation</w:t>
            </w:r>
          </w:p>
          <w:p w14:paraId="573EC595" w14:textId="77777777" w:rsidR="001338F9" w:rsidRPr="008E2A21" w:rsidRDefault="001338F9" w:rsidP="00494EF1">
            <w:pPr>
              <w:spacing w:after="0" w:line="240" w:lineRule="auto"/>
              <w:jc w:val="both"/>
              <w:rPr>
                <w:color w:val="000000" w:themeColor="text1"/>
              </w:rPr>
            </w:pPr>
            <w:r w:rsidRPr="008E2A21">
              <w:rPr>
                <w:color w:val="000000" w:themeColor="text1"/>
              </w:rPr>
              <w:t>Les soldes intermédiaires de gestion (SIG)</w:t>
            </w:r>
          </w:p>
          <w:p w14:paraId="1E2EBCDF" w14:textId="77777777" w:rsidR="001338F9" w:rsidRPr="008E2A21" w:rsidRDefault="001338F9" w:rsidP="00494EF1">
            <w:pPr>
              <w:spacing w:after="0" w:line="240" w:lineRule="auto"/>
              <w:jc w:val="both"/>
              <w:rPr>
                <w:color w:val="000000" w:themeColor="text1"/>
              </w:rPr>
            </w:pPr>
            <w:r w:rsidRPr="008E2A21">
              <w:rPr>
                <w:color w:val="000000" w:themeColor="text1"/>
              </w:rPr>
              <w:t>La marge commerciale, la Valeur Ajoutée, l’Excédent Brut d’Exploitation et le Résultat d’exploitation.</w:t>
            </w:r>
          </w:p>
          <w:p w14:paraId="02108564" w14:textId="77777777" w:rsidR="001338F9" w:rsidRPr="008E2A21" w:rsidRDefault="001338F9" w:rsidP="00494EF1">
            <w:pPr>
              <w:spacing w:after="0" w:line="240" w:lineRule="auto"/>
              <w:jc w:val="both"/>
              <w:rPr>
                <w:color w:val="000000" w:themeColor="text1"/>
              </w:rPr>
            </w:pPr>
            <w:r w:rsidRPr="008E2A21">
              <w:rPr>
                <w:color w:val="000000" w:themeColor="text1"/>
              </w:rPr>
              <w:t>Les ratios issus du compte du résultat</w:t>
            </w:r>
          </w:p>
        </w:tc>
      </w:tr>
      <w:tr w:rsidR="001338F9" w14:paraId="68952E5D" w14:textId="77777777" w:rsidTr="00494EF1">
        <w:tc>
          <w:tcPr>
            <w:tcW w:w="3573" w:type="dxa"/>
            <w:tcBorders>
              <w:bottom w:val="single" w:sz="4" w:space="0" w:color="000000"/>
            </w:tcBorders>
          </w:tcPr>
          <w:p w14:paraId="1C57F0C5" w14:textId="77777777" w:rsidR="001338F9" w:rsidRDefault="001338F9" w:rsidP="00494EF1">
            <w:pPr>
              <w:spacing w:after="0" w:line="240" w:lineRule="auto"/>
              <w:jc w:val="both"/>
            </w:pPr>
            <w:r>
              <w:lastRenderedPageBreak/>
              <w:t>Les coûts et les marges</w:t>
            </w:r>
          </w:p>
          <w:p w14:paraId="74BC87D6" w14:textId="77777777" w:rsidR="001338F9" w:rsidRDefault="001338F9" w:rsidP="00494EF1">
            <w:pPr>
              <w:spacing w:after="0" w:line="240" w:lineRule="auto"/>
              <w:jc w:val="both"/>
              <w:rPr>
                <w:color w:val="7030A0"/>
              </w:rPr>
            </w:pPr>
          </w:p>
          <w:p w14:paraId="7FB40783" w14:textId="77777777" w:rsidR="001338F9" w:rsidRDefault="001338F9" w:rsidP="00494EF1">
            <w:pPr>
              <w:spacing w:after="0" w:line="240" w:lineRule="auto"/>
              <w:jc w:val="both"/>
              <w:rPr>
                <w:color w:val="7030A0"/>
              </w:rPr>
            </w:pPr>
          </w:p>
          <w:p w14:paraId="389126A6" w14:textId="77777777" w:rsidR="001338F9" w:rsidRDefault="001338F9" w:rsidP="00494EF1">
            <w:pPr>
              <w:spacing w:after="0" w:line="240" w:lineRule="auto"/>
              <w:jc w:val="both"/>
              <w:rPr>
                <w:color w:val="7030A0"/>
              </w:rPr>
            </w:pPr>
          </w:p>
          <w:p w14:paraId="33848419" w14:textId="77777777" w:rsidR="001338F9" w:rsidRDefault="001338F9" w:rsidP="00494EF1">
            <w:pPr>
              <w:spacing w:after="0" w:line="240" w:lineRule="auto"/>
              <w:jc w:val="both"/>
              <w:rPr>
                <w:color w:val="7030A0"/>
              </w:rPr>
            </w:pPr>
          </w:p>
          <w:p w14:paraId="7DCC8C18" w14:textId="77777777" w:rsidR="001338F9" w:rsidRDefault="001338F9" w:rsidP="00494EF1">
            <w:pPr>
              <w:spacing w:after="0" w:line="240" w:lineRule="auto"/>
              <w:jc w:val="both"/>
              <w:rPr>
                <w:color w:val="7030A0"/>
              </w:rPr>
            </w:pPr>
          </w:p>
          <w:p w14:paraId="2B276CD5" w14:textId="77777777" w:rsidR="001338F9" w:rsidRDefault="001338F9" w:rsidP="00494EF1">
            <w:pPr>
              <w:spacing w:after="0" w:line="240" w:lineRule="auto"/>
              <w:jc w:val="both"/>
            </w:pPr>
          </w:p>
        </w:tc>
        <w:tc>
          <w:tcPr>
            <w:tcW w:w="11056" w:type="dxa"/>
            <w:tcBorders>
              <w:bottom w:val="single" w:sz="4" w:space="0" w:color="000000"/>
            </w:tcBorders>
          </w:tcPr>
          <w:p w14:paraId="2286E173" w14:textId="77777777" w:rsidR="001338F9" w:rsidRPr="008E2A21" w:rsidRDefault="001338F9" w:rsidP="00494EF1">
            <w:pPr>
              <w:spacing w:after="0" w:line="240" w:lineRule="auto"/>
              <w:jc w:val="both"/>
              <w:rPr>
                <w:color w:val="000000" w:themeColor="text1"/>
              </w:rPr>
            </w:pPr>
            <w:r w:rsidRPr="008E2A21">
              <w:rPr>
                <w:color w:val="000000" w:themeColor="text1"/>
              </w:rPr>
              <w:t>Les différents coûts et leur calcul</w:t>
            </w:r>
          </w:p>
          <w:p w14:paraId="2B83C9DA" w14:textId="77777777" w:rsidR="001338F9" w:rsidRPr="008E2A21" w:rsidRDefault="001338F9" w:rsidP="00494EF1">
            <w:pPr>
              <w:spacing w:after="0" w:line="240" w:lineRule="auto"/>
              <w:jc w:val="both"/>
              <w:rPr>
                <w:color w:val="000000" w:themeColor="text1"/>
              </w:rPr>
            </w:pPr>
            <w:r w:rsidRPr="008E2A21">
              <w:rPr>
                <w:color w:val="000000" w:themeColor="text1"/>
              </w:rPr>
              <w:t>Les notions de charges et de coûts</w:t>
            </w:r>
          </w:p>
          <w:p w14:paraId="79E37833" w14:textId="77777777" w:rsidR="001338F9" w:rsidRPr="008E2A21" w:rsidRDefault="001338F9" w:rsidP="00494EF1">
            <w:pPr>
              <w:spacing w:after="0" w:line="240" w:lineRule="auto"/>
              <w:jc w:val="both"/>
              <w:rPr>
                <w:color w:val="000000" w:themeColor="text1"/>
              </w:rPr>
            </w:pPr>
            <w:r w:rsidRPr="008E2A21">
              <w:rPr>
                <w:color w:val="000000" w:themeColor="text1"/>
              </w:rPr>
              <w:t>Les calculs de coûts : coût d’un produit vendu, d’une prestation de service, d’une opération commerciale, d’une unité commerciale.</w:t>
            </w:r>
          </w:p>
          <w:p w14:paraId="26872BB9" w14:textId="77777777" w:rsidR="001338F9" w:rsidRPr="008E2A21" w:rsidRDefault="001338F9" w:rsidP="00494EF1">
            <w:pPr>
              <w:spacing w:after="0" w:line="240" w:lineRule="auto"/>
              <w:jc w:val="both"/>
              <w:rPr>
                <w:color w:val="000000" w:themeColor="text1"/>
              </w:rPr>
            </w:pPr>
            <w:r w:rsidRPr="008E2A21">
              <w:rPr>
                <w:color w:val="000000" w:themeColor="text1"/>
              </w:rPr>
              <w:t>Les charges fixes et charges variables</w:t>
            </w:r>
          </w:p>
          <w:p w14:paraId="2AA520F7" w14:textId="77777777" w:rsidR="001338F9" w:rsidRPr="008E2A21" w:rsidRDefault="001338F9" w:rsidP="00494EF1">
            <w:pPr>
              <w:spacing w:after="0" w:line="240" w:lineRule="auto"/>
              <w:jc w:val="both"/>
              <w:rPr>
                <w:color w:val="000000" w:themeColor="text1"/>
              </w:rPr>
            </w:pPr>
            <w:r w:rsidRPr="008E2A21">
              <w:rPr>
                <w:color w:val="000000" w:themeColor="text1"/>
              </w:rPr>
              <w:t>Les notions de charges fixes et charges variables.</w:t>
            </w:r>
          </w:p>
          <w:p w14:paraId="1BEE6585" w14:textId="77777777" w:rsidR="001338F9" w:rsidRPr="008E2A21" w:rsidRDefault="001338F9" w:rsidP="00494EF1">
            <w:pPr>
              <w:spacing w:after="0" w:line="240" w:lineRule="auto"/>
              <w:jc w:val="both"/>
              <w:rPr>
                <w:color w:val="000000" w:themeColor="text1"/>
              </w:rPr>
            </w:pPr>
            <w:r w:rsidRPr="008E2A21">
              <w:rPr>
                <w:color w:val="000000" w:themeColor="text1"/>
              </w:rPr>
              <w:t>Les marges et leur calcul</w:t>
            </w:r>
          </w:p>
          <w:p w14:paraId="23B9653A" w14:textId="77777777" w:rsidR="001338F9" w:rsidRPr="008E2A21" w:rsidRDefault="001338F9" w:rsidP="00494EF1">
            <w:pPr>
              <w:spacing w:after="0" w:line="240" w:lineRule="auto"/>
              <w:jc w:val="both"/>
              <w:rPr>
                <w:color w:val="000000" w:themeColor="text1"/>
              </w:rPr>
            </w:pPr>
            <w:r w:rsidRPr="008E2A21">
              <w:rPr>
                <w:color w:val="000000" w:themeColor="text1"/>
              </w:rPr>
              <w:t>L’évaluation d’un résultat et d’un seuil de rentabilité</w:t>
            </w:r>
          </w:p>
          <w:p w14:paraId="1A6D279B" w14:textId="77777777" w:rsidR="001338F9" w:rsidRPr="008E2A21" w:rsidRDefault="001338F9" w:rsidP="00494EF1">
            <w:pPr>
              <w:spacing w:after="0" w:line="240" w:lineRule="auto"/>
              <w:jc w:val="both"/>
              <w:rPr>
                <w:color w:val="000000" w:themeColor="text1"/>
              </w:rPr>
            </w:pPr>
            <w:r w:rsidRPr="008E2A21">
              <w:rPr>
                <w:color w:val="000000" w:themeColor="text1"/>
              </w:rPr>
              <w:t>Le calcul d’une marge, d’un résultat, d’un seuil de rentabilité (pour un rayon, une famille de produits, une prestation de services, une opération commerciale, etc.).</w:t>
            </w:r>
          </w:p>
        </w:tc>
      </w:tr>
      <w:tr w:rsidR="001338F9" w14:paraId="61B109BE" w14:textId="77777777" w:rsidTr="00494EF1">
        <w:tc>
          <w:tcPr>
            <w:tcW w:w="3573" w:type="dxa"/>
            <w:tcBorders>
              <w:bottom w:val="single" w:sz="4" w:space="0" w:color="000000"/>
            </w:tcBorders>
          </w:tcPr>
          <w:p w14:paraId="3E208372" w14:textId="77777777" w:rsidR="001338F9" w:rsidRDefault="001338F9" w:rsidP="00494EF1">
            <w:pPr>
              <w:spacing w:after="0" w:line="240" w:lineRule="auto"/>
              <w:jc w:val="both"/>
            </w:pPr>
            <w:r>
              <w:t>La fixation des prix</w:t>
            </w:r>
          </w:p>
          <w:p w14:paraId="005F8835" w14:textId="77777777" w:rsidR="001338F9" w:rsidRDefault="001338F9" w:rsidP="00494EF1">
            <w:pPr>
              <w:spacing w:after="0" w:line="240" w:lineRule="auto"/>
              <w:jc w:val="both"/>
              <w:rPr>
                <w:color w:val="7030A0"/>
              </w:rPr>
            </w:pPr>
          </w:p>
          <w:p w14:paraId="6BF8F9EC" w14:textId="77777777" w:rsidR="001338F9" w:rsidRDefault="001338F9" w:rsidP="00494EF1">
            <w:pPr>
              <w:spacing w:after="0" w:line="240" w:lineRule="auto"/>
              <w:jc w:val="both"/>
              <w:rPr>
                <w:color w:val="7030A0"/>
              </w:rPr>
            </w:pPr>
          </w:p>
          <w:p w14:paraId="4998B411" w14:textId="77777777" w:rsidR="001338F9" w:rsidRDefault="001338F9" w:rsidP="00494EF1">
            <w:pPr>
              <w:spacing w:after="0" w:line="240" w:lineRule="auto"/>
              <w:jc w:val="both"/>
              <w:rPr>
                <w:color w:val="7030A0"/>
              </w:rPr>
            </w:pPr>
          </w:p>
          <w:p w14:paraId="0240D69B" w14:textId="77777777" w:rsidR="001338F9" w:rsidRDefault="001338F9" w:rsidP="00494EF1">
            <w:pPr>
              <w:spacing w:after="0" w:line="240" w:lineRule="auto"/>
              <w:jc w:val="both"/>
              <w:rPr>
                <w:color w:val="7030A0"/>
              </w:rPr>
            </w:pPr>
          </w:p>
          <w:p w14:paraId="0C75B767" w14:textId="77777777" w:rsidR="001338F9" w:rsidRDefault="001338F9" w:rsidP="00494EF1">
            <w:pPr>
              <w:spacing w:after="0" w:line="240" w:lineRule="auto"/>
              <w:jc w:val="both"/>
              <w:rPr>
                <w:color w:val="7030A0"/>
              </w:rPr>
            </w:pPr>
          </w:p>
          <w:p w14:paraId="1B099BA7" w14:textId="77777777" w:rsidR="001338F9" w:rsidRDefault="001338F9" w:rsidP="00494EF1">
            <w:pPr>
              <w:spacing w:after="0" w:line="240" w:lineRule="auto"/>
              <w:jc w:val="both"/>
              <w:rPr>
                <w:color w:val="7030A0"/>
              </w:rPr>
            </w:pPr>
          </w:p>
          <w:p w14:paraId="5AA506BC" w14:textId="77777777" w:rsidR="001338F9" w:rsidRDefault="001338F9" w:rsidP="00494EF1">
            <w:pPr>
              <w:spacing w:after="0" w:line="240" w:lineRule="auto"/>
              <w:jc w:val="both"/>
            </w:pPr>
          </w:p>
          <w:p w14:paraId="08004A48" w14:textId="77777777" w:rsidR="001338F9" w:rsidRDefault="001338F9" w:rsidP="00494EF1">
            <w:pPr>
              <w:spacing w:after="0" w:line="240" w:lineRule="auto"/>
              <w:jc w:val="both"/>
            </w:pPr>
          </w:p>
        </w:tc>
        <w:tc>
          <w:tcPr>
            <w:tcW w:w="11056" w:type="dxa"/>
            <w:tcBorders>
              <w:bottom w:val="single" w:sz="4" w:space="0" w:color="000000"/>
            </w:tcBorders>
          </w:tcPr>
          <w:p w14:paraId="0E2E5E36" w14:textId="77777777" w:rsidR="001338F9" w:rsidRPr="008E2A21" w:rsidRDefault="001338F9" w:rsidP="00494EF1">
            <w:pPr>
              <w:spacing w:after="0" w:line="240" w:lineRule="auto"/>
              <w:jc w:val="both"/>
              <w:rPr>
                <w:color w:val="000000" w:themeColor="text1"/>
              </w:rPr>
            </w:pPr>
            <w:r w:rsidRPr="008E2A21">
              <w:rPr>
                <w:color w:val="000000" w:themeColor="text1"/>
              </w:rPr>
              <w:t>Les facteurs d’influence du prix</w:t>
            </w:r>
          </w:p>
          <w:p w14:paraId="23E0FDFC" w14:textId="77777777" w:rsidR="001338F9" w:rsidRPr="008E2A21" w:rsidRDefault="001338F9" w:rsidP="00494EF1">
            <w:pPr>
              <w:spacing w:after="0" w:line="240" w:lineRule="auto"/>
              <w:jc w:val="both"/>
              <w:rPr>
                <w:color w:val="000000" w:themeColor="text1"/>
              </w:rPr>
            </w:pPr>
            <w:r w:rsidRPr="008E2A21">
              <w:rPr>
                <w:color w:val="000000" w:themeColor="text1"/>
              </w:rPr>
              <w:t>Les facteurs externes : politique de prix de la concurrence, conditions des intermédiaires et prestataires de services, l’attitude et le niveau d’information des clients, le nombre d’acheteurs, l’élasticité et les facteurs réglementaires.</w:t>
            </w:r>
          </w:p>
          <w:p w14:paraId="097C6126" w14:textId="77777777" w:rsidR="001338F9" w:rsidRPr="008E2A21" w:rsidRDefault="001338F9" w:rsidP="00494EF1">
            <w:pPr>
              <w:spacing w:after="0" w:line="240" w:lineRule="auto"/>
              <w:jc w:val="both"/>
              <w:rPr>
                <w:color w:val="000000" w:themeColor="text1"/>
              </w:rPr>
            </w:pPr>
            <w:r w:rsidRPr="008E2A21">
              <w:rPr>
                <w:color w:val="000000" w:themeColor="text1"/>
              </w:rPr>
              <w:t>Les facteurs internes : les coûts et la rentabilité.</w:t>
            </w:r>
          </w:p>
          <w:p w14:paraId="03A7B5EA" w14:textId="77777777" w:rsidR="001338F9" w:rsidRPr="008E2A21" w:rsidRDefault="001338F9" w:rsidP="00494EF1">
            <w:pPr>
              <w:spacing w:after="0" w:line="240" w:lineRule="auto"/>
              <w:jc w:val="both"/>
              <w:rPr>
                <w:color w:val="000000" w:themeColor="text1"/>
              </w:rPr>
            </w:pPr>
            <w:r w:rsidRPr="008E2A21">
              <w:rPr>
                <w:color w:val="000000" w:themeColor="text1"/>
              </w:rPr>
              <w:t>Le taux de marge, le taux de marque, le coefficient multiplicateur.</w:t>
            </w:r>
          </w:p>
          <w:p w14:paraId="53FA93F2" w14:textId="77777777" w:rsidR="001338F9" w:rsidRPr="008E2A21" w:rsidRDefault="001338F9" w:rsidP="00494EF1">
            <w:pPr>
              <w:spacing w:after="0" w:line="240" w:lineRule="auto"/>
              <w:jc w:val="both"/>
              <w:rPr>
                <w:rFonts w:cs="Calibri"/>
                <w:i/>
                <w:color w:val="D60093"/>
              </w:rPr>
            </w:pPr>
            <w:r w:rsidRPr="008E2A21">
              <w:rPr>
                <w:rFonts w:cs="Calibri"/>
                <w:i/>
                <w:color w:val="D60093"/>
              </w:rPr>
              <w:t>Les contraintes légales</w:t>
            </w:r>
          </w:p>
          <w:p w14:paraId="4F0A7EC2" w14:textId="77777777" w:rsidR="001338F9" w:rsidRPr="008E2A21" w:rsidRDefault="001338F9" w:rsidP="00494EF1">
            <w:pPr>
              <w:spacing w:after="0" w:line="240" w:lineRule="auto"/>
              <w:jc w:val="both"/>
              <w:rPr>
                <w:rFonts w:cs="Calibri"/>
                <w:i/>
                <w:color w:val="D60093"/>
              </w:rPr>
            </w:pPr>
            <w:r w:rsidRPr="008E2A21">
              <w:rPr>
                <w:rFonts w:cs="Calibri"/>
                <w:i/>
                <w:color w:val="D60093"/>
              </w:rPr>
              <w:t>Le seuil de revente à perte</w:t>
            </w:r>
          </w:p>
          <w:p w14:paraId="60ADBC21" w14:textId="77777777" w:rsidR="001338F9" w:rsidRPr="008E2A21" w:rsidRDefault="001338F9" w:rsidP="00494EF1">
            <w:pPr>
              <w:spacing w:after="0" w:line="240" w:lineRule="auto"/>
              <w:jc w:val="both"/>
              <w:rPr>
                <w:color w:val="000000" w:themeColor="text1"/>
              </w:rPr>
            </w:pPr>
            <w:r w:rsidRPr="008E2A21">
              <w:rPr>
                <w:color w:val="000000" w:themeColor="text1"/>
              </w:rPr>
              <w:t xml:space="preserve">Les principaux outils de fixation du prix </w:t>
            </w:r>
          </w:p>
          <w:p w14:paraId="04172E29" w14:textId="77777777" w:rsidR="001338F9" w:rsidRPr="008E2A21" w:rsidRDefault="001338F9" w:rsidP="00494EF1">
            <w:pPr>
              <w:spacing w:after="0" w:line="240" w:lineRule="auto"/>
              <w:jc w:val="both"/>
              <w:rPr>
                <w:color w:val="000000" w:themeColor="text1"/>
              </w:rPr>
            </w:pPr>
            <w:r w:rsidRPr="008E2A21">
              <w:rPr>
                <w:color w:val="000000" w:themeColor="text1"/>
              </w:rPr>
              <w:t>Les techniques de modulation des prix</w:t>
            </w:r>
          </w:p>
          <w:p w14:paraId="08528B27" w14:textId="77777777" w:rsidR="001338F9" w:rsidRPr="00603444" w:rsidRDefault="001338F9" w:rsidP="00494EF1">
            <w:pPr>
              <w:spacing w:after="0" w:line="240" w:lineRule="auto"/>
              <w:jc w:val="both"/>
              <w:rPr>
                <w:i/>
              </w:rPr>
            </w:pPr>
            <w:r w:rsidRPr="008E2A21">
              <w:rPr>
                <w:color w:val="000000" w:themeColor="text1"/>
              </w:rPr>
              <w:t>Les techniques de fixation des prix introduites par les applications numériques (regroupement d’acheteurs, ventes aux enchères en ligne, offres promotionnelles en ligne limitées dans le temps, alignement des prix automatisé appliqué à l’aide des étiquettes électroniques, etc.).</w:t>
            </w:r>
          </w:p>
        </w:tc>
      </w:tr>
      <w:tr w:rsidR="001338F9" w14:paraId="436A83E7" w14:textId="77777777" w:rsidTr="00494EF1">
        <w:tc>
          <w:tcPr>
            <w:tcW w:w="3573" w:type="dxa"/>
            <w:tcBorders>
              <w:bottom w:val="single" w:sz="4" w:space="0" w:color="000000"/>
            </w:tcBorders>
          </w:tcPr>
          <w:p w14:paraId="5FCFAF2A" w14:textId="77777777" w:rsidR="001338F9" w:rsidRDefault="001338F9" w:rsidP="00494EF1">
            <w:pPr>
              <w:spacing w:after="0" w:line="240" w:lineRule="auto"/>
              <w:jc w:val="both"/>
            </w:pPr>
            <w:r>
              <w:t>Le bilan</w:t>
            </w:r>
          </w:p>
          <w:p w14:paraId="3D7FC2BD" w14:textId="77777777" w:rsidR="001338F9" w:rsidRDefault="001338F9" w:rsidP="00494EF1">
            <w:pPr>
              <w:spacing w:after="0" w:line="240" w:lineRule="auto"/>
              <w:jc w:val="both"/>
              <w:rPr>
                <w:color w:val="7030A0"/>
              </w:rPr>
            </w:pPr>
          </w:p>
          <w:p w14:paraId="695E9663" w14:textId="77777777" w:rsidR="001338F9" w:rsidRDefault="001338F9" w:rsidP="00494EF1">
            <w:pPr>
              <w:spacing w:after="0" w:line="240" w:lineRule="auto"/>
              <w:jc w:val="both"/>
              <w:rPr>
                <w:color w:val="7030A0"/>
              </w:rPr>
            </w:pPr>
          </w:p>
          <w:p w14:paraId="6CBC49F9" w14:textId="77777777" w:rsidR="001338F9" w:rsidRDefault="001338F9" w:rsidP="00494EF1">
            <w:pPr>
              <w:spacing w:after="0" w:line="240" w:lineRule="auto"/>
              <w:jc w:val="both"/>
              <w:rPr>
                <w:color w:val="7030A0"/>
              </w:rPr>
            </w:pPr>
          </w:p>
          <w:p w14:paraId="0E6ED8E2" w14:textId="77777777" w:rsidR="001338F9" w:rsidRDefault="001338F9" w:rsidP="00494EF1">
            <w:pPr>
              <w:spacing w:after="0" w:line="240" w:lineRule="auto"/>
              <w:jc w:val="both"/>
              <w:rPr>
                <w:color w:val="7030A0"/>
              </w:rPr>
            </w:pPr>
          </w:p>
          <w:p w14:paraId="4D8320A8" w14:textId="77777777" w:rsidR="001338F9" w:rsidRDefault="001338F9" w:rsidP="00494EF1">
            <w:pPr>
              <w:spacing w:after="0" w:line="240" w:lineRule="auto"/>
              <w:jc w:val="both"/>
              <w:rPr>
                <w:color w:val="7030A0"/>
              </w:rPr>
            </w:pPr>
          </w:p>
          <w:p w14:paraId="3A889C9B" w14:textId="77777777" w:rsidR="001338F9" w:rsidRDefault="001338F9" w:rsidP="00494EF1">
            <w:pPr>
              <w:spacing w:after="0" w:line="240" w:lineRule="auto"/>
              <w:jc w:val="both"/>
              <w:rPr>
                <w:color w:val="7030A0"/>
              </w:rPr>
            </w:pPr>
          </w:p>
          <w:p w14:paraId="25ECBC67" w14:textId="77777777" w:rsidR="001338F9" w:rsidRDefault="001338F9" w:rsidP="00494EF1">
            <w:pPr>
              <w:spacing w:after="0" w:line="240" w:lineRule="auto"/>
              <w:jc w:val="both"/>
              <w:rPr>
                <w:color w:val="7030A0"/>
              </w:rPr>
            </w:pPr>
          </w:p>
          <w:p w14:paraId="060489F2" w14:textId="77777777" w:rsidR="001338F9" w:rsidRDefault="001338F9" w:rsidP="00494EF1">
            <w:pPr>
              <w:spacing w:after="0" w:line="240" w:lineRule="auto"/>
              <w:jc w:val="both"/>
              <w:rPr>
                <w:color w:val="7030A0"/>
              </w:rPr>
            </w:pPr>
          </w:p>
          <w:p w14:paraId="772CCA2C" w14:textId="77777777" w:rsidR="001338F9" w:rsidRDefault="001338F9" w:rsidP="00494EF1">
            <w:pPr>
              <w:spacing w:after="0" w:line="240" w:lineRule="auto"/>
              <w:jc w:val="both"/>
              <w:rPr>
                <w:color w:val="7030A0"/>
              </w:rPr>
            </w:pPr>
          </w:p>
          <w:p w14:paraId="0C550235" w14:textId="77777777" w:rsidR="001338F9" w:rsidRDefault="001338F9" w:rsidP="00494EF1">
            <w:pPr>
              <w:spacing w:after="0" w:line="240" w:lineRule="auto"/>
              <w:jc w:val="both"/>
              <w:rPr>
                <w:color w:val="7030A0"/>
              </w:rPr>
            </w:pPr>
          </w:p>
          <w:p w14:paraId="3442676C" w14:textId="77777777" w:rsidR="001338F9" w:rsidRDefault="001338F9" w:rsidP="00494EF1">
            <w:pPr>
              <w:spacing w:after="0" w:line="240" w:lineRule="auto"/>
              <w:jc w:val="both"/>
              <w:rPr>
                <w:color w:val="7030A0"/>
              </w:rPr>
            </w:pPr>
          </w:p>
          <w:p w14:paraId="72866E9A" w14:textId="77777777" w:rsidR="001338F9" w:rsidRDefault="001338F9" w:rsidP="00494EF1">
            <w:pPr>
              <w:spacing w:after="0" w:line="240" w:lineRule="auto"/>
              <w:jc w:val="both"/>
              <w:rPr>
                <w:color w:val="7030A0"/>
              </w:rPr>
            </w:pPr>
          </w:p>
          <w:p w14:paraId="2A4DF804" w14:textId="77777777" w:rsidR="001338F9" w:rsidRDefault="001338F9" w:rsidP="00494EF1">
            <w:pPr>
              <w:spacing w:after="0" w:line="240" w:lineRule="auto"/>
              <w:jc w:val="both"/>
              <w:rPr>
                <w:color w:val="7030A0"/>
              </w:rPr>
            </w:pPr>
          </w:p>
          <w:p w14:paraId="0C3084DA" w14:textId="77777777" w:rsidR="001338F9" w:rsidRDefault="001338F9" w:rsidP="00494EF1">
            <w:pPr>
              <w:spacing w:after="0" w:line="240" w:lineRule="auto"/>
              <w:jc w:val="both"/>
              <w:rPr>
                <w:color w:val="7030A0"/>
              </w:rPr>
            </w:pPr>
          </w:p>
          <w:p w14:paraId="3C65590A" w14:textId="77777777" w:rsidR="001338F9" w:rsidRDefault="001338F9" w:rsidP="00494EF1">
            <w:pPr>
              <w:spacing w:after="0" w:line="240" w:lineRule="auto"/>
              <w:jc w:val="both"/>
              <w:rPr>
                <w:color w:val="7030A0"/>
              </w:rPr>
            </w:pPr>
          </w:p>
          <w:p w14:paraId="1715B72B" w14:textId="77777777" w:rsidR="001338F9" w:rsidRDefault="001338F9" w:rsidP="00494EF1">
            <w:pPr>
              <w:spacing w:after="0" w:line="240" w:lineRule="auto"/>
              <w:jc w:val="both"/>
            </w:pPr>
          </w:p>
        </w:tc>
        <w:tc>
          <w:tcPr>
            <w:tcW w:w="11056" w:type="dxa"/>
            <w:tcBorders>
              <w:bottom w:val="single" w:sz="4" w:space="0" w:color="000000"/>
            </w:tcBorders>
          </w:tcPr>
          <w:p w14:paraId="37209AA1" w14:textId="77777777" w:rsidR="001338F9" w:rsidRPr="008E2A21" w:rsidRDefault="001338F9" w:rsidP="00494EF1">
            <w:pPr>
              <w:spacing w:after="0" w:line="240" w:lineRule="auto"/>
              <w:jc w:val="both"/>
              <w:rPr>
                <w:color w:val="000000" w:themeColor="text1"/>
              </w:rPr>
            </w:pPr>
            <w:r w:rsidRPr="008E2A21">
              <w:rPr>
                <w:color w:val="000000" w:themeColor="text1"/>
              </w:rPr>
              <w:lastRenderedPageBreak/>
              <w:t>La structure d’un bilan comptable,</w:t>
            </w:r>
          </w:p>
          <w:p w14:paraId="78D8DA31" w14:textId="77777777" w:rsidR="001338F9" w:rsidRPr="008E2A21" w:rsidRDefault="001338F9" w:rsidP="00494EF1">
            <w:pPr>
              <w:spacing w:after="0" w:line="240" w:lineRule="auto"/>
              <w:jc w:val="both"/>
              <w:rPr>
                <w:color w:val="000000" w:themeColor="text1"/>
              </w:rPr>
            </w:pPr>
            <w:r w:rsidRPr="008E2A21">
              <w:rPr>
                <w:color w:val="000000" w:themeColor="text1"/>
              </w:rPr>
              <w:t>L’approche Emploi/Ressources.</w:t>
            </w:r>
          </w:p>
          <w:p w14:paraId="3237837C" w14:textId="77777777" w:rsidR="001338F9" w:rsidRPr="008E2A21" w:rsidRDefault="001338F9" w:rsidP="00494EF1">
            <w:pPr>
              <w:spacing w:after="0" w:line="240" w:lineRule="auto"/>
              <w:jc w:val="both"/>
              <w:rPr>
                <w:color w:val="000000" w:themeColor="text1"/>
              </w:rPr>
            </w:pPr>
            <w:r w:rsidRPr="008E2A21">
              <w:rPr>
                <w:color w:val="000000" w:themeColor="text1"/>
              </w:rPr>
              <w:t>Les principaux postes de l’actif immobilisé, l’actif circulant, les capitaux propres, les provisions pour risques et charges et les dettes.</w:t>
            </w:r>
          </w:p>
          <w:p w14:paraId="16BC054A" w14:textId="77777777" w:rsidR="001338F9" w:rsidRPr="008E2A21" w:rsidRDefault="001338F9" w:rsidP="00494EF1">
            <w:pPr>
              <w:spacing w:after="0" w:line="240" w:lineRule="auto"/>
              <w:jc w:val="both"/>
              <w:rPr>
                <w:color w:val="000000" w:themeColor="text1"/>
              </w:rPr>
            </w:pPr>
            <w:r w:rsidRPr="008E2A21">
              <w:rPr>
                <w:color w:val="000000" w:themeColor="text1"/>
              </w:rPr>
              <w:t>La structure d’un bilan fonctionnel condensé.</w:t>
            </w:r>
          </w:p>
          <w:p w14:paraId="4623A82C" w14:textId="77777777" w:rsidR="001338F9" w:rsidRPr="008E2A21" w:rsidRDefault="001338F9" w:rsidP="00494EF1">
            <w:pPr>
              <w:spacing w:after="0" w:line="240" w:lineRule="auto"/>
              <w:jc w:val="both"/>
              <w:rPr>
                <w:color w:val="000000" w:themeColor="text1"/>
              </w:rPr>
            </w:pPr>
            <w:r w:rsidRPr="008E2A21">
              <w:rPr>
                <w:color w:val="000000" w:themeColor="text1"/>
              </w:rPr>
              <w:t>Actif immobilisé brut, Actif circulant brut, Capitaux propres, Dettes financières, Passif circulant ; ressources stables et emplois stables.</w:t>
            </w:r>
          </w:p>
          <w:p w14:paraId="60F773FA" w14:textId="77777777" w:rsidR="001338F9" w:rsidRPr="008E2A21" w:rsidRDefault="001338F9" w:rsidP="00494EF1">
            <w:pPr>
              <w:spacing w:after="0" w:line="240" w:lineRule="auto"/>
              <w:jc w:val="both"/>
              <w:rPr>
                <w:color w:val="000000" w:themeColor="text1"/>
              </w:rPr>
            </w:pPr>
            <w:r w:rsidRPr="008E2A21">
              <w:rPr>
                <w:color w:val="000000" w:themeColor="text1"/>
              </w:rPr>
              <w:t>Les amortissements et les provisions</w:t>
            </w:r>
          </w:p>
          <w:p w14:paraId="10292F6A" w14:textId="77777777" w:rsidR="001338F9" w:rsidRPr="008E2A21" w:rsidRDefault="001338F9" w:rsidP="00494EF1">
            <w:pPr>
              <w:spacing w:after="0" w:line="240" w:lineRule="auto"/>
              <w:jc w:val="both"/>
              <w:rPr>
                <w:color w:val="000000" w:themeColor="text1"/>
              </w:rPr>
            </w:pPr>
            <w:r w:rsidRPr="008E2A21">
              <w:rPr>
                <w:color w:val="000000" w:themeColor="text1"/>
              </w:rPr>
              <w:t>Les principes de l’amortissement linéaire.</w:t>
            </w:r>
          </w:p>
          <w:p w14:paraId="170CB713" w14:textId="77777777" w:rsidR="001338F9" w:rsidRPr="008E2A21" w:rsidRDefault="001338F9" w:rsidP="00494EF1">
            <w:pPr>
              <w:spacing w:after="0" w:line="240" w:lineRule="auto"/>
              <w:jc w:val="both"/>
              <w:rPr>
                <w:color w:val="000000" w:themeColor="text1"/>
              </w:rPr>
            </w:pPr>
            <w:r w:rsidRPr="008E2A21">
              <w:rPr>
                <w:color w:val="000000" w:themeColor="text1"/>
              </w:rPr>
              <w:t>Les règles de calcul des provisions pour dépréciation des stocks.</w:t>
            </w:r>
          </w:p>
          <w:p w14:paraId="43410A2E" w14:textId="77777777" w:rsidR="001338F9" w:rsidRPr="008E2A21" w:rsidRDefault="001338F9" w:rsidP="00494EF1">
            <w:pPr>
              <w:spacing w:after="0" w:line="240" w:lineRule="auto"/>
              <w:jc w:val="both"/>
              <w:rPr>
                <w:color w:val="000000" w:themeColor="text1"/>
              </w:rPr>
            </w:pPr>
            <w:r w:rsidRPr="008E2A21">
              <w:rPr>
                <w:color w:val="000000" w:themeColor="text1"/>
              </w:rPr>
              <w:t>La notion de Fonds de Roulement Net Global.</w:t>
            </w:r>
          </w:p>
          <w:p w14:paraId="31304EA5" w14:textId="77777777" w:rsidR="001338F9" w:rsidRPr="008E2A21" w:rsidRDefault="001338F9" w:rsidP="00494EF1">
            <w:pPr>
              <w:spacing w:after="0" w:line="240" w:lineRule="auto"/>
              <w:jc w:val="both"/>
              <w:rPr>
                <w:color w:val="000000" w:themeColor="text1"/>
              </w:rPr>
            </w:pPr>
            <w:r w:rsidRPr="008E2A21">
              <w:rPr>
                <w:color w:val="000000" w:themeColor="text1"/>
              </w:rPr>
              <w:lastRenderedPageBreak/>
              <w:t>L’équilibre financier</w:t>
            </w:r>
          </w:p>
          <w:p w14:paraId="2545D1CE" w14:textId="77777777" w:rsidR="001338F9" w:rsidRPr="008E2A21" w:rsidRDefault="001338F9" w:rsidP="00494EF1">
            <w:pPr>
              <w:spacing w:after="0" w:line="240" w:lineRule="auto"/>
              <w:jc w:val="both"/>
              <w:rPr>
                <w:color w:val="000000" w:themeColor="text1"/>
              </w:rPr>
            </w:pPr>
            <w:r w:rsidRPr="008E2A21">
              <w:rPr>
                <w:color w:val="000000" w:themeColor="text1"/>
              </w:rPr>
              <w:t>Les principes de calcul du Fonds de Roulement Net Global.</w:t>
            </w:r>
          </w:p>
          <w:p w14:paraId="028E98B7" w14:textId="77777777" w:rsidR="001338F9" w:rsidRPr="008E2A21" w:rsidRDefault="001338F9" w:rsidP="00494EF1">
            <w:pPr>
              <w:spacing w:after="0" w:line="240" w:lineRule="auto"/>
              <w:jc w:val="both"/>
              <w:rPr>
                <w:color w:val="000000" w:themeColor="text1"/>
              </w:rPr>
            </w:pPr>
            <w:r w:rsidRPr="008E2A21">
              <w:rPr>
                <w:color w:val="000000" w:themeColor="text1"/>
              </w:rPr>
              <w:t>La comparaison entre FRNG et BFR. La formation de la Trésorerie Nette.</w:t>
            </w:r>
          </w:p>
          <w:p w14:paraId="338565E5" w14:textId="77777777" w:rsidR="001338F9" w:rsidRPr="008E2A21" w:rsidRDefault="001338F9" w:rsidP="00494EF1">
            <w:pPr>
              <w:spacing w:after="0" w:line="240" w:lineRule="auto"/>
              <w:jc w:val="both"/>
              <w:rPr>
                <w:color w:val="000000" w:themeColor="text1"/>
              </w:rPr>
            </w:pPr>
            <w:r w:rsidRPr="008E2A21">
              <w:rPr>
                <w:color w:val="000000" w:themeColor="text1"/>
              </w:rPr>
              <w:t>Les principaux ratios issus du bilan</w:t>
            </w:r>
          </w:p>
          <w:p w14:paraId="1FA2CBA0" w14:textId="77777777" w:rsidR="001338F9" w:rsidRPr="008E2A21" w:rsidRDefault="001338F9" w:rsidP="00494EF1">
            <w:pPr>
              <w:spacing w:after="0" w:line="240" w:lineRule="auto"/>
              <w:jc w:val="both"/>
              <w:rPr>
                <w:color w:val="000000" w:themeColor="text1"/>
              </w:rPr>
            </w:pPr>
            <w:r w:rsidRPr="008E2A21">
              <w:rPr>
                <w:color w:val="000000" w:themeColor="text1"/>
              </w:rPr>
              <w:t>Ratios de structure, de solvabilité, de rotation (Clients, Fournisseurs et Stocks).</w:t>
            </w:r>
          </w:p>
        </w:tc>
      </w:tr>
      <w:tr w:rsidR="001338F9" w14:paraId="3A0E779E" w14:textId="77777777" w:rsidTr="00494EF1">
        <w:tc>
          <w:tcPr>
            <w:tcW w:w="3573" w:type="dxa"/>
            <w:tcBorders>
              <w:bottom w:val="single" w:sz="4" w:space="0" w:color="000000"/>
            </w:tcBorders>
          </w:tcPr>
          <w:p w14:paraId="68531965" w14:textId="77777777" w:rsidR="001338F9" w:rsidRPr="008E2A21" w:rsidRDefault="001338F9" w:rsidP="00494EF1">
            <w:pPr>
              <w:spacing w:after="0" w:line="240" w:lineRule="auto"/>
              <w:jc w:val="both"/>
              <w:rPr>
                <w:color w:val="000000" w:themeColor="text1"/>
              </w:rPr>
            </w:pPr>
            <w:r w:rsidRPr="008E2A21">
              <w:rPr>
                <w:color w:val="000000" w:themeColor="text1"/>
              </w:rPr>
              <w:lastRenderedPageBreak/>
              <w:t xml:space="preserve">La gestion des risques </w:t>
            </w:r>
          </w:p>
          <w:p w14:paraId="570227C8" w14:textId="77777777" w:rsidR="001338F9" w:rsidRPr="008E2A21" w:rsidRDefault="001338F9" w:rsidP="00494EF1">
            <w:pPr>
              <w:spacing w:after="0" w:line="240" w:lineRule="auto"/>
              <w:jc w:val="both"/>
              <w:rPr>
                <w:color w:val="000000" w:themeColor="text1"/>
              </w:rPr>
            </w:pPr>
          </w:p>
          <w:p w14:paraId="08BD19AC" w14:textId="77777777" w:rsidR="001338F9" w:rsidRPr="008E2A21" w:rsidRDefault="001338F9" w:rsidP="00494EF1">
            <w:pPr>
              <w:spacing w:after="0" w:line="240" w:lineRule="auto"/>
              <w:jc w:val="both"/>
              <w:rPr>
                <w:color w:val="000000" w:themeColor="text1"/>
              </w:rPr>
            </w:pPr>
          </w:p>
          <w:p w14:paraId="598E922E" w14:textId="77777777" w:rsidR="001338F9" w:rsidRPr="008E2A21" w:rsidRDefault="001338F9" w:rsidP="00494EF1">
            <w:pPr>
              <w:spacing w:after="0" w:line="240" w:lineRule="auto"/>
              <w:jc w:val="both"/>
              <w:rPr>
                <w:color w:val="000000" w:themeColor="text1"/>
              </w:rPr>
            </w:pPr>
          </w:p>
          <w:p w14:paraId="4D8ADF7A" w14:textId="77777777" w:rsidR="001338F9" w:rsidRPr="008E2A21" w:rsidRDefault="001338F9" w:rsidP="00494EF1">
            <w:pPr>
              <w:spacing w:after="0" w:line="240" w:lineRule="auto"/>
              <w:jc w:val="both"/>
              <w:rPr>
                <w:color w:val="000000" w:themeColor="text1"/>
              </w:rPr>
            </w:pPr>
          </w:p>
          <w:p w14:paraId="63AC3352" w14:textId="77777777" w:rsidR="001338F9" w:rsidRPr="008E2A21" w:rsidRDefault="001338F9" w:rsidP="00494EF1">
            <w:pPr>
              <w:spacing w:after="0" w:line="240" w:lineRule="auto"/>
              <w:jc w:val="both"/>
              <w:rPr>
                <w:color w:val="000000" w:themeColor="text1"/>
              </w:rPr>
            </w:pPr>
          </w:p>
          <w:p w14:paraId="6039AF1F" w14:textId="77777777" w:rsidR="001338F9" w:rsidRPr="008E2A21" w:rsidRDefault="001338F9" w:rsidP="00494EF1">
            <w:pPr>
              <w:spacing w:after="0" w:line="240" w:lineRule="auto"/>
              <w:jc w:val="both"/>
              <w:rPr>
                <w:color w:val="000000" w:themeColor="text1"/>
              </w:rPr>
            </w:pPr>
          </w:p>
          <w:p w14:paraId="20002C67" w14:textId="77777777" w:rsidR="001338F9" w:rsidRPr="008E2A21" w:rsidRDefault="001338F9" w:rsidP="00494EF1">
            <w:pPr>
              <w:spacing w:after="0" w:line="240" w:lineRule="auto"/>
              <w:jc w:val="both"/>
              <w:rPr>
                <w:color w:val="000000" w:themeColor="text1"/>
              </w:rPr>
            </w:pPr>
          </w:p>
          <w:p w14:paraId="41B433B9" w14:textId="77777777" w:rsidR="001338F9" w:rsidRPr="008E2A21" w:rsidRDefault="001338F9" w:rsidP="00494EF1">
            <w:pPr>
              <w:spacing w:after="0" w:line="240" w:lineRule="auto"/>
              <w:jc w:val="both"/>
              <w:rPr>
                <w:color w:val="000000" w:themeColor="text1"/>
              </w:rPr>
            </w:pPr>
          </w:p>
          <w:p w14:paraId="393124E9" w14:textId="77777777" w:rsidR="001338F9" w:rsidRPr="008E2A21" w:rsidRDefault="001338F9" w:rsidP="00494EF1">
            <w:pPr>
              <w:spacing w:after="0" w:line="240" w:lineRule="auto"/>
              <w:jc w:val="both"/>
              <w:rPr>
                <w:color w:val="000000" w:themeColor="text1"/>
              </w:rPr>
            </w:pPr>
          </w:p>
        </w:tc>
        <w:tc>
          <w:tcPr>
            <w:tcW w:w="11056" w:type="dxa"/>
            <w:tcBorders>
              <w:bottom w:val="single" w:sz="4" w:space="0" w:color="000000"/>
            </w:tcBorders>
          </w:tcPr>
          <w:p w14:paraId="2D61DD48" w14:textId="77777777" w:rsidR="001338F9" w:rsidRPr="008E2A21" w:rsidRDefault="001338F9" w:rsidP="00494EF1">
            <w:pPr>
              <w:spacing w:after="0" w:line="240" w:lineRule="auto"/>
              <w:jc w:val="both"/>
              <w:rPr>
                <w:color w:val="000000" w:themeColor="text1"/>
              </w:rPr>
            </w:pPr>
            <w:r w:rsidRPr="008E2A21">
              <w:rPr>
                <w:color w:val="000000" w:themeColor="text1"/>
              </w:rPr>
              <w:t>Les types de risques d’une unité commerciale et leur évaluation</w:t>
            </w:r>
          </w:p>
          <w:p w14:paraId="1E72D672" w14:textId="77777777" w:rsidR="001338F9" w:rsidRPr="008E2A21" w:rsidRDefault="001338F9" w:rsidP="00494EF1">
            <w:pPr>
              <w:spacing w:after="0" w:line="240" w:lineRule="auto"/>
              <w:rPr>
                <w:color w:val="000000" w:themeColor="text1"/>
              </w:rPr>
            </w:pPr>
            <w:r w:rsidRPr="008E2A21">
              <w:rPr>
                <w:color w:val="000000" w:themeColor="text1"/>
              </w:rPr>
              <w:t>Les risques liés à l’unité commerciale (locaux et matériels), aux produits, aux personnes (clients, fournisseurs, personnels), aux actes de malveillance et à l’environnement.</w:t>
            </w:r>
          </w:p>
          <w:p w14:paraId="36998B3D" w14:textId="77777777" w:rsidR="001338F9" w:rsidRPr="008E2A21" w:rsidRDefault="001338F9" w:rsidP="00494EF1">
            <w:pPr>
              <w:spacing w:after="0" w:line="240" w:lineRule="auto"/>
              <w:rPr>
                <w:color w:val="000000" w:themeColor="text1"/>
              </w:rPr>
            </w:pPr>
            <w:r w:rsidRPr="008E2A21">
              <w:rPr>
                <w:color w:val="000000" w:themeColor="text1"/>
              </w:rPr>
              <w:t>La matrice d’évaluation des risques (fréquence/gravité).</w:t>
            </w:r>
          </w:p>
          <w:p w14:paraId="3B7F6300" w14:textId="77777777" w:rsidR="001338F9" w:rsidRPr="008E2A21" w:rsidRDefault="001338F9" w:rsidP="00494EF1">
            <w:pPr>
              <w:spacing w:after="0" w:line="240" w:lineRule="auto"/>
              <w:jc w:val="both"/>
              <w:rPr>
                <w:color w:val="000000" w:themeColor="text1"/>
              </w:rPr>
            </w:pPr>
            <w:r w:rsidRPr="008E2A21">
              <w:rPr>
                <w:color w:val="000000" w:themeColor="text1"/>
              </w:rPr>
              <w:t>Les modalités de prévention des risques</w:t>
            </w:r>
          </w:p>
          <w:p w14:paraId="2105C78D" w14:textId="77777777" w:rsidR="001338F9" w:rsidRPr="008E2A21" w:rsidRDefault="001338F9" w:rsidP="00494EF1">
            <w:pPr>
              <w:spacing w:after="0" w:line="240" w:lineRule="auto"/>
              <w:rPr>
                <w:color w:val="000000" w:themeColor="text1"/>
              </w:rPr>
            </w:pPr>
            <w:r w:rsidRPr="008E2A21">
              <w:rPr>
                <w:color w:val="000000" w:themeColor="text1"/>
              </w:rPr>
              <w:t>La prévention des risques : information et formation du personnel ; le respect des consignes.</w:t>
            </w:r>
          </w:p>
          <w:p w14:paraId="75C529D0" w14:textId="77777777" w:rsidR="001338F9" w:rsidRPr="008E2A21" w:rsidRDefault="001338F9" w:rsidP="00494EF1">
            <w:pPr>
              <w:spacing w:after="0" w:line="240" w:lineRule="auto"/>
              <w:jc w:val="both"/>
              <w:rPr>
                <w:color w:val="000000" w:themeColor="text1"/>
              </w:rPr>
            </w:pPr>
            <w:r w:rsidRPr="008E2A21">
              <w:rPr>
                <w:color w:val="000000" w:themeColor="text1"/>
              </w:rPr>
              <w:t>Les coûts induits par la gestion des risques</w:t>
            </w:r>
          </w:p>
          <w:p w14:paraId="27E1F63E" w14:textId="77777777" w:rsidR="001338F9" w:rsidRPr="008E2A21" w:rsidRDefault="001338F9" w:rsidP="00494EF1">
            <w:pPr>
              <w:spacing w:after="0" w:line="240" w:lineRule="auto"/>
              <w:jc w:val="both"/>
              <w:rPr>
                <w:color w:val="000000" w:themeColor="text1"/>
              </w:rPr>
            </w:pPr>
            <w:r w:rsidRPr="008E2A21">
              <w:rPr>
                <w:color w:val="000000" w:themeColor="text1"/>
              </w:rPr>
              <w:t>Les solutions de couverture des risques</w:t>
            </w:r>
          </w:p>
          <w:p w14:paraId="22B06EBC" w14:textId="77777777" w:rsidR="001338F9" w:rsidRPr="008E2A21" w:rsidRDefault="001338F9" w:rsidP="00494EF1">
            <w:pPr>
              <w:spacing w:after="0" w:line="240" w:lineRule="auto"/>
              <w:rPr>
                <w:color w:val="000000" w:themeColor="text1"/>
              </w:rPr>
            </w:pPr>
            <w:r w:rsidRPr="008E2A21">
              <w:rPr>
                <w:color w:val="000000" w:themeColor="text1"/>
              </w:rPr>
              <w:t>Assurances, maintenance, provisions pour dépréciation des stocks.</w:t>
            </w:r>
          </w:p>
          <w:p w14:paraId="6594DD57" w14:textId="77777777" w:rsidR="001338F9" w:rsidRPr="008E2A21" w:rsidRDefault="001338F9" w:rsidP="00494EF1">
            <w:pPr>
              <w:spacing w:after="0" w:line="240" w:lineRule="auto"/>
              <w:rPr>
                <w:rFonts w:cs="Calibri"/>
                <w:i/>
                <w:color w:val="D60093"/>
              </w:rPr>
            </w:pPr>
            <w:r w:rsidRPr="008E2A21">
              <w:rPr>
                <w:rFonts w:cs="Calibri"/>
                <w:i/>
                <w:color w:val="D60093"/>
              </w:rPr>
              <w:t>Le traitement des incidents et son cadre légal</w:t>
            </w:r>
          </w:p>
          <w:p w14:paraId="1AFC318B" w14:textId="77777777" w:rsidR="001338F9" w:rsidRPr="008E2A21" w:rsidRDefault="001338F9" w:rsidP="00494EF1">
            <w:pPr>
              <w:spacing w:after="0" w:line="240" w:lineRule="auto"/>
              <w:rPr>
                <w:rFonts w:cs="Calibri"/>
                <w:i/>
                <w:color w:val="D60093"/>
              </w:rPr>
            </w:pPr>
            <w:r w:rsidRPr="008E2A21">
              <w:rPr>
                <w:rFonts w:cs="Calibri"/>
                <w:i/>
                <w:color w:val="D60093"/>
              </w:rPr>
              <w:t>Le document unique d’évaluation des risques professionnels ; le registre de sécurité.</w:t>
            </w:r>
          </w:p>
          <w:p w14:paraId="58055A4A" w14:textId="77777777" w:rsidR="001338F9" w:rsidRPr="00D062DD" w:rsidRDefault="001338F9" w:rsidP="00494EF1">
            <w:pPr>
              <w:spacing w:after="0" w:line="240" w:lineRule="auto"/>
              <w:rPr>
                <w:rFonts w:cs="Calibri"/>
                <w:i/>
                <w:color w:val="D60093"/>
                <w:sz w:val="24"/>
                <w:szCs w:val="24"/>
              </w:rPr>
            </w:pPr>
            <w:r w:rsidRPr="00D062DD">
              <w:rPr>
                <w:rFonts w:cs="Calibri"/>
                <w:i/>
                <w:color w:val="D60093"/>
                <w:sz w:val="24"/>
                <w:szCs w:val="24"/>
              </w:rPr>
              <w:t>Le registre spécial des dangers graves et imminents.</w:t>
            </w:r>
          </w:p>
          <w:p w14:paraId="6065BCF2" w14:textId="77777777" w:rsidR="001338F9" w:rsidRPr="008E2A21" w:rsidRDefault="001338F9" w:rsidP="00494EF1">
            <w:pPr>
              <w:spacing w:after="0" w:line="240" w:lineRule="auto"/>
              <w:rPr>
                <w:color w:val="000000" w:themeColor="text1"/>
              </w:rPr>
            </w:pPr>
          </w:p>
        </w:tc>
      </w:tr>
      <w:tr w:rsidR="001338F9" w14:paraId="2794BD60" w14:textId="77777777" w:rsidTr="00494EF1">
        <w:tc>
          <w:tcPr>
            <w:tcW w:w="3573" w:type="dxa"/>
            <w:tcBorders>
              <w:bottom w:val="single" w:sz="4" w:space="0" w:color="000000"/>
            </w:tcBorders>
          </w:tcPr>
          <w:p w14:paraId="580FAADC" w14:textId="77777777" w:rsidR="001338F9" w:rsidRPr="008E2A21" w:rsidRDefault="001338F9" w:rsidP="00494EF1">
            <w:pPr>
              <w:spacing w:after="0" w:line="240" w:lineRule="auto"/>
              <w:jc w:val="both"/>
              <w:rPr>
                <w:color w:val="000000" w:themeColor="text1"/>
              </w:rPr>
            </w:pPr>
            <w:r w:rsidRPr="008E2A21">
              <w:rPr>
                <w:color w:val="000000" w:themeColor="text1"/>
              </w:rPr>
              <w:t>Les méthodes de prévision des ventes</w:t>
            </w:r>
          </w:p>
          <w:p w14:paraId="6C1A982E" w14:textId="77777777" w:rsidR="001338F9" w:rsidRPr="008E2A21" w:rsidRDefault="001338F9" w:rsidP="00494EF1">
            <w:pPr>
              <w:spacing w:after="0" w:line="240" w:lineRule="auto"/>
              <w:rPr>
                <w:color w:val="000000" w:themeColor="text1"/>
              </w:rPr>
            </w:pPr>
          </w:p>
          <w:p w14:paraId="534D09E1" w14:textId="77777777" w:rsidR="001338F9" w:rsidRPr="008E2A21" w:rsidRDefault="001338F9" w:rsidP="00494EF1">
            <w:pPr>
              <w:spacing w:after="0" w:line="240" w:lineRule="auto"/>
              <w:rPr>
                <w:color w:val="000000" w:themeColor="text1"/>
              </w:rPr>
            </w:pPr>
          </w:p>
          <w:p w14:paraId="4D80EF9A" w14:textId="77777777" w:rsidR="001338F9" w:rsidRPr="008E2A21" w:rsidRDefault="001338F9" w:rsidP="00494EF1">
            <w:pPr>
              <w:spacing w:after="0" w:line="240" w:lineRule="auto"/>
              <w:rPr>
                <w:color w:val="000000" w:themeColor="text1"/>
              </w:rPr>
            </w:pPr>
          </w:p>
          <w:p w14:paraId="6674D23E" w14:textId="77777777" w:rsidR="001338F9" w:rsidRPr="008E2A21" w:rsidRDefault="001338F9" w:rsidP="00494EF1">
            <w:pPr>
              <w:spacing w:after="0" w:line="240" w:lineRule="auto"/>
              <w:jc w:val="both"/>
              <w:rPr>
                <w:color w:val="000000" w:themeColor="text1"/>
              </w:rPr>
            </w:pPr>
          </w:p>
        </w:tc>
        <w:tc>
          <w:tcPr>
            <w:tcW w:w="11056" w:type="dxa"/>
            <w:tcBorders>
              <w:bottom w:val="single" w:sz="4" w:space="0" w:color="000000"/>
            </w:tcBorders>
          </w:tcPr>
          <w:p w14:paraId="2AB2728F" w14:textId="77777777" w:rsidR="001338F9" w:rsidRPr="008E2A21" w:rsidRDefault="001338F9" w:rsidP="00494EF1">
            <w:pPr>
              <w:spacing w:after="0" w:line="240" w:lineRule="auto"/>
              <w:jc w:val="both"/>
              <w:rPr>
                <w:color w:val="000000" w:themeColor="text1"/>
              </w:rPr>
            </w:pPr>
            <w:r w:rsidRPr="008E2A21">
              <w:rPr>
                <w:color w:val="000000" w:themeColor="text1"/>
              </w:rPr>
              <w:t>L’analyse des séries chronologiques et la détermination des tendances</w:t>
            </w:r>
          </w:p>
          <w:p w14:paraId="1AE1B038" w14:textId="77777777" w:rsidR="001338F9" w:rsidRPr="008E2A21" w:rsidRDefault="001338F9" w:rsidP="00494EF1">
            <w:pPr>
              <w:spacing w:after="0" w:line="240" w:lineRule="auto"/>
              <w:jc w:val="both"/>
              <w:rPr>
                <w:color w:val="000000" w:themeColor="text1"/>
              </w:rPr>
            </w:pPr>
            <w:r w:rsidRPr="008E2A21">
              <w:rPr>
                <w:color w:val="000000" w:themeColor="text1"/>
              </w:rPr>
              <w:t>Les principaux indicateurs de l’analyse des ventes : moyennes, taux de variation, coefficients saison</w:t>
            </w:r>
            <w:bookmarkStart w:id="1" w:name="_GoBack"/>
            <w:bookmarkEnd w:id="1"/>
            <w:r w:rsidRPr="008E2A21">
              <w:rPr>
                <w:color w:val="000000" w:themeColor="text1"/>
              </w:rPr>
              <w:t>niers.</w:t>
            </w:r>
          </w:p>
          <w:p w14:paraId="5F3206C5" w14:textId="77777777" w:rsidR="001338F9" w:rsidRPr="008E2A21" w:rsidRDefault="001338F9" w:rsidP="00494EF1">
            <w:pPr>
              <w:spacing w:after="0" w:line="240" w:lineRule="auto"/>
              <w:jc w:val="both"/>
              <w:rPr>
                <w:color w:val="000000" w:themeColor="text1"/>
              </w:rPr>
            </w:pPr>
            <w:r w:rsidRPr="008E2A21">
              <w:rPr>
                <w:color w:val="000000" w:themeColor="text1"/>
              </w:rPr>
              <w:t>Les représentations graphiques des séries chronologiques.</w:t>
            </w:r>
          </w:p>
          <w:p w14:paraId="1D3A96C6" w14:textId="77777777" w:rsidR="001338F9" w:rsidRPr="008E2A21" w:rsidRDefault="001338F9" w:rsidP="00494EF1">
            <w:pPr>
              <w:spacing w:after="0" w:line="240" w:lineRule="auto"/>
              <w:rPr>
                <w:color w:val="000000" w:themeColor="text1"/>
              </w:rPr>
            </w:pPr>
            <w:r w:rsidRPr="008E2A21">
              <w:rPr>
                <w:color w:val="000000" w:themeColor="text1"/>
              </w:rPr>
              <w:t>Les principaux outils de prévision.</w:t>
            </w:r>
          </w:p>
          <w:p w14:paraId="6BB6F049" w14:textId="77777777" w:rsidR="001338F9" w:rsidRPr="008E2A21" w:rsidRDefault="001338F9" w:rsidP="00494EF1">
            <w:pPr>
              <w:spacing w:after="0" w:line="240" w:lineRule="auto"/>
              <w:rPr>
                <w:color w:val="000000" w:themeColor="text1"/>
              </w:rPr>
            </w:pPr>
            <w:r w:rsidRPr="008E2A21">
              <w:rPr>
                <w:color w:val="000000" w:themeColor="text1"/>
              </w:rPr>
              <w:t>La saisonnalité de l’activité.</w:t>
            </w:r>
          </w:p>
          <w:p w14:paraId="642D0FDC" w14:textId="77777777" w:rsidR="001338F9" w:rsidRPr="008E2A21" w:rsidRDefault="001338F9" w:rsidP="00494EF1">
            <w:pPr>
              <w:spacing w:after="0" w:line="240" w:lineRule="auto"/>
              <w:jc w:val="both"/>
              <w:rPr>
                <w:color w:val="000000" w:themeColor="text1"/>
              </w:rPr>
            </w:pPr>
            <w:r w:rsidRPr="008E2A21">
              <w:rPr>
                <w:color w:val="000000" w:themeColor="text1"/>
              </w:rPr>
              <w:t>Les principes de l’ajustement linéaire.</w:t>
            </w:r>
          </w:p>
          <w:p w14:paraId="2FC66821" w14:textId="77777777" w:rsidR="001338F9" w:rsidRPr="008E2A21" w:rsidRDefault="001338F9" w:rsidP="00494EF1">
            <w:pPr>
              <w:spacing w:after="0" w:line="240" w:lineRule="auto"/>
              <w:jc w:val="both"/>
              <w:rPr>
                <w:color w:val="000000" w:themeColor="text1"/>
              </w:rPr>
            </w:pPr>
            <w:r w:rsidRPr="008E2A21">
              <w:rPr>
                <w:color w:val="000000" w:themeColor="text1"/>
              </w:rPr>
              <w:t>Les méthodes de prévision des ventes. </w:t>
            </w:r>
          </w:p>
          <w:p w14:paraId="69958178" w14:textId="77777777" w:rsidR="001338F9" w:rsidRPr="008E2A21" w:rsidRDefault="001338F9" w:rsidP="00494EF1">
            <w:pPr>
              <w:spacing w:after="0" w:line="240" w:lineRule="auto"/>
              <w:jc w:val="both"/>
              <w:rPr>
                <w:color w:val="000000" w:themeColor="text1"/>
              </w:rPr>
            </w:pPr>
            <w:r w:rsidRPr="008E2A21">
              <w:rPr>
                <w:color w:val="000000" w:themeColor="text1"/>
              </w:rPr>
              <w:t>La prise en compte de la saisonnalité dans les prévisions.</w:t>
            </w:r>
          </w:p>
        </w:tc>
      </w:tr>
      <w:tr w:rsidR="001338F9" w14:paraId="53D18A61" w14:textId="77777777" w:rsidTr="00494EF1">
        <w:tc>
          <w:tcPr>
            <w:tcW w:w="3573" w:type="dxa"/>
            <w:tcBorders>
              <w:bottom w:val="single" w:sz="4" w:space="0" w:color="000000"/>
            </w:tcBorders>
          </w:tcPr>
          <w:p w14:paraId="1031CB1E" w14:textId="77777777" w:rsidR="001338F9" w:rsidRPr="008E2A21" w:rsidRDefault="001338F9" w:rsidP="00494EF1">
            <w:pPr>
              <w:spacing w:after="0" w:line="240" w:lineRule="auto"/>
              <w:jc w:val="both"/>
              <w:rPr>
                <w:color w:val="000000" w:themeColor="text1"/>
              </w:rPr>
            </w:pPr>
            <w:r w:rsidRPr="008E2A21">
              <w:rPr>
                <w:color w:val="000000" w:themeColor="text1"/>
              </w:rPr>
              <w:t>Les budgets</w:t>
            </w:r>
          </w:p>
          <w:p w14:paraId="6149FD10" w14:textId="77777777" w:rsidR="001338F9" w:rsidRPr="008E2A21" w:rsidRDefault="001338F9" w:rsidP="00494EF1">
            <w:pPr>
              <w:spacing w:after="0" w:line="240" w:lineRule="auto"/>
              <w:rPr>
                <w:color w:val="000000" w:themeColor="text1"/>
              </w:rPr>
            </w:pPr>
            <w:bookmarkStart w:id="2" w:name="_gjdgxs" w:colFirst="0" w:colLast="0"/>
            <w:bookmarkEnd w:id="2"/>
          </w:p>
          <w:p w14:paraId="6E7E2D5F" w14:textId="77777777" w:rsidR="001338F9" w:rsidRPr="008E2A21" w:rsidRDefault="001338F9" w:rsidP="00494EF1">
            <w:pPr>
              <w:spacing w:after="0" w:line="240" w:lineRule="auto"/>
              <w:rPr>
                <w:color w:val="000000" w:themeColor="text1"/>
              </w:rPr>
            </w:pPr>
            <w:bookmarkStart w:id="3" w:name="_30j0zll" w:colFirst="0" w:colLast="0"/>
            <w:bookmarkEnd w:id="3"/>
          </w:p>
          <w:p w14:paraId="799F7830" w14:textId="77777777" w:rsidR="001338F9" w:rsidRPr="008E2A21" w:rsidRDefault="001338F9" w:rsidP="00494EF1">
            <w:pPr>
              <w:spacing w:after="0" w:line="240" w:lineRule="auto"/>
              <w:rPr>
                <w:color w:val="000000" w:themeColor="text1"/>
              </w:rPr>
            </w:pPr>
            <w:bookmarkStart w:id="4" w:name="_1fob9te" w:colFirst="0" w:colLast="0"/>
            <w:bookmarkEnd w:id="4"/>
          </w:p>
          <w:p w14:paraId="75D2D22E" w14:textId="77777777" w:rsidR="001338F9" w:rsidRPr="008E2A21" w:rsidRDefault="001338F9" w:rsidP="00494EF1">
            <w:pPr>
              <w:spacing w:after="0" w:line="240" w:lineRule="auto"/>
              <w:rPr>
                <w:color w:val="000000" w:themeColor="text1"/>
              </w:rPr>
            </w:pPr>
          </w:p>
          <w:p w14:paraId="33D61B95" w14:textId="77777777" w:rsidR="001338F9" w:rsidRPr="008E2A21" w:rsidRDefault="001338F9" w:rsidP="00494EF1">
            <w:pPr>
              <w:spacing w:after="0" w:line="240" w:lineRule="auto"/>
              <w:rPr>
                <w:color w:val="000000" w:themeColor="text1"/>
              </w:rPr>
            </w:pPr>
          </w:p>
        </w:tc>
        <w:tc>
          <w:tcPr>
            <w:tcW w:w="11056" w:type="dxa"/>
            <w:tcBorders>
              <w:bottom w:val="single" w:sz="4" w:space="0" w:color="000000"/>
            </w:tcBorders>
          </w:tcPr>
          <w:p w14:paraId="37ECFA1F" w14:textId="77777777" w:rsidR="001338F9" w:rsidRPr="008E2A21" w:rsidRDefault="001338F9" w:rsidP="00494EF1">
            <w:pPr>
              <w:spacing w:after="0" w:line="240" w:lineRule="auto"/>
              <w:rPr>
                <w:color w:val="000000" w:themeColor="text1"/>
              </w:rPr>
            </w:pPr>
            <w:r w:rsidRPr="008E2A21">
              <w:rPr>
                <w:color w:val="000000" w:themeColor="text1"/>
              </w:rPr>
              <w:t>Les principes de la démarche budgétaire</w:t>
            </w:r>
          </w:p>
          <w:p w14:paraId="19444CAF" w14:textId="77777777" w:rsidR="001338F9" w:rsidRPr="008E2A21" w:rsidRDefault="001338F9" w:rsidP="00494EF1">
            <w:pPr>
              <w:spacing w:after="0" w:line="240" w:lineRule="auto"/>
              <w:jc w:val="both"/>
              <w:rPr>
                <w:color w:val="000000" w:themeColor="text1"/>
              </w:rPr>
            </w:pPr>
            <w:r w:rsidRPr="008E2A21">
              <w:rPr>
                <w:color w:val="000000" w:themeColor="text1"/>
              </w:rPr>
              <w:t>La définition d’un budget.</w:t>
            </w:r>
          </w:p>
          <w:p w14:paraId="6C3E8BBF" w14:textId="77777777" w:rsidR="001338F9" w:rsidRPr="008E2A21" w:rsidRDefault="001338F9" w:rsidP="00494EF1">
            <w:pPr>
              <w:spacing w:after="0" w:line="240" w:lineRule="auto"/>
              <w:jc w:val="both"/>
              <w:rPr>
                <w:color w:val="000000" w:themeColor="text1"/>
              </w:rPr>
            </w:pPr>
            <w:r w:rsidRPr="008E2A21">
              <w:rPr>
                <w:color w:val="000000" w:themeColor="text1"/>
              </w:rPr>
              <w:t>L’interdépendance et la hiérarchie des budgets.</w:t>
            </w:r>
          </w:p>
          <w:p w14:paraId="368404BD" w14:textId="77777777" w:rsidR="001338F9" w:rsidRPr="008E2A21" w:rsidRDefault="001338F9" w:rsidP="00494EF1">
            <w:pPr>
              <w:spacing w:after="0" w:line="240" w:lineRule="auto"/>
              <w:jc w:val="both"/>
              <w:rPr>
                <w:color w:val="000000" w:themeColor="text1"/>
              </w:rPr>
            </w:pPr>
            <w:r w:rsidRPr="008E2A21">
              <w:rPr>
                <w:color w:val="000000" w:themeColor="text1"/>
              </w:rPr>
              <w:t>Le contrôle des budgets.</w:t>
            </w:r>
          </w:p>
          <w:p w14:paraId="01B6A54C" w14:textId="77777777" w:rsidR="001338F9" w:rsidRPr="008E2A21" w:rsidRDefault="001338F9" w:rsidP="00494EF1">
            <w:pPr>
              <w:spacing w:after="0" w:line="240" w:lineRule="auto"/>
              <w:jc w:val="both"/>
              <w:rPr>
                <w:color w:val="000000" w:themeColor="text1"/>
              </w:rPr>
            </w:pPr>
            <w:r w:rsidRPr="008E2A21">
              <w:rPr>
                <w:color w:val="000000" w:themeColor="text1"/>
              </w:rPr>
              <w:t>Les principaux budgets</w:t>
            </w:r>
          </w:p>
          <w:p w14:paraId="56F017E5" w14:textId="77777777" w:rsidR="001338F9" w:rsidRPr="008E2A21" w:rsidRDefault="001338F9" w:rsidP="00494EF1">
            <w:pPr>
              <w:spacing w:after="0" w:line="240" w:lineRule="auto"/>
              <w:jc w:val="both"/>
              <w:rPr>
                <w:color w:val="000000" w:themeColor="text1"/>
              </w:rPr>
            </w:pPr>
            <w:r w:rsidRPr="008E2A21">
              <w:rPr>
                <w:color w:val="000000" w:themeColor="text1"/>
              </w:rPr>
              <w:t>Le budget des ventes, le budget des approvisionnements, le budget de TVA, le budget des autres charges, le budget de trésorerie.</w:t>
            </w:r>
          </w:p>
        </w:tc>
      </w:tr>
      <w:tr w:rsidR="001338F9" w14:paraId="5CF5BA54" w14:textId="77777777" w:rsidTr="00494EF1">
        <w:tc>
          <w:tcPr>
            <w:tcW w:w="3573" w:type="dxa"/>
            <w:tcBorders>
              <w:bottom w:val="single" w:sz="4" w:space="0" w:color="000000"/>
            </w:tcBorders>
          </w:tcPr>
          <w:p w14:paraId="28B68215" w14:textId="77777777" w:rsidR="001338F9" w:rsidRPr="008E2A21" w:rsidRDefault="001338F9" w:rsidP="00494EF1">
            <w:pPr>
              <w:spacing w:after="0" w:line="240" w:lineRule="auto"/>
              <w:rPr>
                <w:i/>
                <w:color w:val="000000" w:themeColor="text1"/>
              </w:rPr>
            </w:pPr>
            <w:r w:rsidRPr="008E2A21">
              <w:rPr>
                <w:i/>
                <w:color w:val="000000" w:themeColor="text1"/>
              </w:rPr>
              <w:t>Le financement de l’investissement</w:t>
            </w:r>
          </w:p>
          <w:p w14:paraId="7CA9271B" w14:textId="77777777" w:rsidR="001338F9" w:rsidRPr="008E2A21" w:rsidRDefault="001338F9" w:rsidP="00494EF1">
            <w:pPr>
              <w:spacing w:after="0" w:line="240" w:lineRule="auto"/>
              <w:rPr>
                <w:i/>
                <w:color w:val="000000" w:themeColor="text1"/>
              </w:rPr>
            </w:pPr>
          </w:p>
          <w:p w14:paraId="004E41F4" w14:textId="77777777" w:rsidR="001338F9" w:rsidRPr="008E2A21" w:rsidRDefault="001338F9" w:rsidP="00494EF1">
            <w:pPr>
              <w:spacing w:after="0" w:line="240" w:lineRule="auto"/>
              <w:rPr>
                <w:i/>
                <w:color w:val="000000" w:themeColor="text1"/>
              </w:rPr>
            </w:pPr>
          </w:p>
        </w:tc>
        <w:tc>
          <w:tcPr>
            <w:tcW w:w="11056" w:type="dxa"/>
            <w:tcBorders>
              <w:bottom w:val="single" w:sz="4" w:space="0" w:color="000000"/>
            </w:tcBorders>
          </w:tcPr>
          <w:p w14:paraId="5544ECF4" w14:textId="77777777" w:rsidR="001338F9" w:rsidRPr="008E2A21" w:rsidRDefault="001338F9" w:rsidP="00494EF1">
            <w:pPr>
              <w:spacing w:after="0" w:line="240" w:lineRule="auto"/>
              <w:rPr>
                <w:i/>
                <w:color w:val="000000" w:themeColor="text1"/>
              </w:rPr>
            </w:pPr>
            <w:r w:rsidRPr="008E2A21">
              <w:rPr>
                <w:i/>
                <w:color w:val="000000" w:themeColor="text1"/>
              </w:rPr>
              <w:t>L’investissement</w:t>
            </w:r>
          </w:p>
          <w:p w14:paraId="50433923" w14:textId="77777777" w:rsidR="001338F9" w:rsidRPr="008E2A21" w:rsidRDefault="001338F9" w:rsidP="00494EF1">
            <w:pPr>
              <w:spacing w:after="0" w:line="240" w:lineRule="auto"/>
              <w:rPr>
                <w:i/>
                <w:color w:val="000000" w:themeColor="text1"/>
              </w:rPr>
            </w:pPr>
            <w:r w:rsidRPr="008E2A21">
              <w:rPr>
                <w:i/>
                <w:color w:val="000000" w:themeColor="text1"/>
              </w:rPr>
              <w:t>La notion d’investissement ; la typologie des investissements.</w:t>
            </w:r>
          </w:p>
          <w:p w14:paraId="3DF3DC8A" w14:textId="77777777" w:rsidR="001338F9" w:rsidRPr="008E2A21" w:rsidRDefault="001338F9" w:rsidP="00494EF1">
            <w:pPr>
              <w:spacing w:after="0" w:line="240" w:lineRule="auto"/>
              <w:rPr>
                <w:i/>
                <w:color w:val="000000" w:themeColor="text1"/>
              </w:rPr>
            </w:pPr>
            <w:r w:rsidRPr="008E2A21">
              <w:rPr>
                <w:i/>
                <w:color w:val="000000" w:themeColor="text1"/>
              </w:rPr>
              <w:t>Les ressources internes et externes de financement</w:t>
            </w:r>
          </w:p>
          <w:p w14:paraId="4F607864" w14:textId="77777777" w:rsidR="001338F9" w:rsidRPr="008E2A21" w:rsidRDefault="001338F9" w:rsidP="00494EF1">
            <w:pPr>
              <w:spacing w:after="0" w:line="240" w:lineRule="auto"/>
              <w:jc w:val="both"/>
              <w:rPr>
                <w:i/>
                <w:color w:val="000000" w:themeColor="text1"/>
              </w:rPr>
            </w:pPr>
            <w:r w:rsidRPr="008E2A21">
              <w:rPr>
                <w:i/>
                <w:color w:val="000000" w:themeColor="text1"/>
              </w:rPr>
              <w:t>L’autofinancement, la Capacité d’Autofinancement.</w:t>
            </w:r>
          </w:p>
          <w:p w14:paraId="42F78180" w14:textId="77777777" w:rsidR="001338F9" w:rsidRPr="008E2A21" w:rsidRDefault="001338F9" w:rsidP="00494EF1">
            <w:pPr>
              <w:spacing w:after="0" w:line="240" w:lineRule="auto"/>
              <w:jc w:val="both"/>
              <w:rPr>
                <w:i/>
                <w:color w:val="000000" w:themeColor="text1"/>
              </w:rPr>
            </w:pPr>
            <w:r w:rsidRPr="008E2A21">
              <w:rPr>
                <w:i/>
                <w:color w:val="000000" w:themeColor="text1"/>
              </w:rPr>
              <w:t>Le crédit-bail, la location, l’emprunt bancaire.</w:t>
            </w:r>
          </w:p>
          <w:p w14:paraId="2C2FD7EE" w14:textId="77777777" w:rsidR="001338F9" w:rsidRPr="008E2A21" w:rsidRDefault="001338F9" w:rsidP="00494EF1">
            <w:pPr>
              <w:spacing w:after="0" w:line="240" w:lineRule="auto"/>
              <w:rPr>
                <w:i/>
                <w:color w:val="000000" w:themeColor="text1"/>
              </w:rPr>
            </w:pPr>
            <w:r w:rsidRPr="008E2A21">
              <w:rPr>
                <w:i/>
                <w:color w:val="000000" w:themeColor="text1"/>
              </w:rPr>
              <w:t>Les outils de financement et leur intérêt économique</w:t>
            </w:r>
          </w:p>
          <w:p w14:paraId="427B836D" w14:textId="77777777" w:rsidR="001338F9" w:rsidRPr="008E2A21" w:rsidRDefault="001338F9" w:rsidP="00494EF1">
            <w:pPr>
              <w:spacing w:after="0" w:line="240" w:lineRule="auto"/>
              <w:rPr>
                <w:i/>
                <w:color w:val="000000" w:themeColor="text1"/>
              </w:rPr>
            </w:pPr>
            <w:r w:rsidRPr="008E2A21">
              <w:rPr>
                <w:i/>
                <w:color w:val="000000" w:themeColor="text1"/>
              </w:rPr>
              <w:lastRenderedPageBreak/>
              <w:t>Les annuités</w:t>
            </w:r>
          </w:p>
          <w:p w14:paraId="176DCEC2" w14:textId="77777777" w:rsidR="001338F9" w:rsidRPr="008E2A21" w:rsidRDefault="001338F9" w:rsidP="00494EF1">
            <w:pPr>
              <w:spacing w:after="0" w:line="240" w:lineRule="auto"/>
              <w:jc w:val="both"/>
              <w:rPr>
                <w:i/>
                <w:color w:val="000000" w:themeColor="text1"/>
              </w:rPr>
            </w:pPr>
            <w:r w:rsidRPr="008E2A21">
              <w:rPr>
                <w:i/>
                <w:color w:val="000000" w:themeColor="text1"/>
              </w:rPr>
              <w:t>Les modalités de remboursement d’un emprunt (annuité constante ou amortissement constant).</w:t>
            </w:r>
          </w:p>
          <w:p w14:paraId="6AA19A00" w14:textId="77777777" w:rsidR="001338F9" w:rsidRPr="008E2A21" w:rsidRDefault="001338F9" w:rsidP="00494EF1">
            <w:pPr>
              <w:spacing w:after="0" w:line="240" w:lineRule="auto"/>
              <w:jc w:val="both"/>
              <w:rPr>
                <w:i/>
                <w:color w:val="000000" w:themeColor="text1"/>
              </w:rPr>
            </w:pPr>
            <w:r w:rsidRPr="008E2A21">
              <w:rPr>
                <w:i/>
                <w:color w:val="000000" w:themeColor="text1"/>
              </w:rPr>
              <w:t>Les principes de calcul des annuités ou mensualités de remboursement.</w:t>
            </w:r>
          </w:p>
          <w:p w14:paraId="549DF4AD" w14:textId="77777777" w:rsidR="001338F9" w:rsidRPr="008E2A21" w:rsidRDefault="001338F9" w:rsidP="00494EF1">
            <w:pPr>
              <w:spacing w:after="0" w:line="240" w:lineRule="auto"/>
              <w:jc w:val="both"/>
              <w:rPr>
                <w:i/>
                <w:color w:val="000000" w:themeColor="text1"/>
              </w:rPr>
            </w:pPr>
            <w:r w:rsidRPr="008E2A21">
              <w:rPr>
                <w:i/>
                <w:color w:val="000000" w:themeColor="text1"/>
              </w:rPr>
              <w:t>Le coût du crédit</w:t>
            </w:r>
          </w:p>
          <w:p w14:paraId="4AC0624B" w14:textId="77777777" w:rsidR="001338F9" w:rsidRPr="008E2A21" w:rsidRDefault="001338F9" w:rsidP="00494EF1">
            <w:pPr>
              <w:spacing w:after="0" w:line="240" w:lineRule="auto"/>
              <w:jc w:val="both"/>
              <w:rPr>
                <w:i/>
                <w:color w:val="000000" w:themeColor="text1"/>
              </w:rPr>
            </w:pPr>
            <w:r w:rsidRPr="008E2A21">
              <w:rPr>
                <w:i/>
                <w:color w:val="000000" w:themeColor="text1"/>
              </w:rPr>
              <w:t>Les principes de calcul des intérêts sur emprunt.</w:t>
            </w:r>
          </w:p>
          <w:p w14:paraId="5187C218" w14:textId="77777777" w:rsidR="001338F9" w:rsidRPr="008E2A21" w:rsidRDefault="001338F9" w:rsidP="00494EF1">
            <w:pPr>
              <w:spacing w:after="0" w:line="240" w:lineRule="auto"/>
              <w:jc w:val="both"/>
              <w:rPr>
                <w:i/>
                <w:color w:val="000000" w:themeColor="text1"/>
              </w:rPr>
            </w:pPr>
            <w:r w:rsidRPr="008E2A21">
              <w:rPr>
                <w:i/>
                <w:color w:val="000000" w:themeColor="text1"/>
              </w:rPr>
              <w:t xml:space="preserve">Le tableau d’amortissement de l’emprunt </w:t>
            </w:r>
          </w:p>
          <w:p w14:paraId="602DED4E" w14:textId="77777777" w:rsidR="001338F9" w:rsidRPr="008E2A21" w:rsidRDefault="001338F9" w:rsidP="00494EF1">
            <w:pPr>
              <w:spacing w:after="0" w:line="240" w:lineRule="auto"/>
              <w:jc w:val="both"/>
              <w:rPr>
                <w:i/>
                <w:color w:val="000000" w:themeColor="text1"/>
              </w:rPr>
            </w:pPr>
            <w:r w:rsidRPr="008E2A21">
              <w:rPr>
                <w:i/>
                <w:color w:val="000000" w:themeColor="text1"/>
              </w:rPr>
              <w:t>Les éléments constitutifs du tableau d’amortissement d’un emprunt.</w:t>
            </w:r>
          </w:p>
        </w:tc>
      </w:tr>
      <w:tr w:rsidR="001338F9" w14:paraId="59404DBB" w14:textId="77777777" w:rsidTr="00494EF1">
        <w:tc>
          <w:tcPr>
            <w:tcW w:w="3573" w:type="dxa"/>
            <w:tcBorders>
              <w:bottom w:val="single" w:sz="4" w:space="0" w:color="000000"/>
            </w:tcBorders>
          </w:tcPr>
          <w:p w14:paraId="59F9FF0E" w14:textId="77777777" w:rsidR="001338F9" w:rsidRPr="008E2A21" w:rsidRDefault="001338F9" w:rsidP="00494EF1">
            <w:pPr>
              <w:spacing w:after="0" w:line="240" w:lineRule="auto"/>
              <w:rPr>
                <w:color w:val="000000" w:themeColor="text1"/>
              </w:rPr>
            </w:pPr>
            <w:r w:rsidRPr="008E2A21">
              <w:rPr>
                <w:color w:val="000000" w:themeColor="text1"/>
              </w:rPr>
              <w:lastRenderedPageBreak/>
              <w:t>Les critères de choix d’investissement</w:t>
            </w:r>
          </w:p>
          <w:p w14:paraId="66BAB46B" w14:textId="77777777" w:rsidR="001338F9" w:rsidRPr="008E2A21" w:rsidRDefault="001338F9" w:rsidP="00494EF1">
            <w:pPr>
              <w:spacing w:after="0" w:line="240" w:lineRule="auto"/>
              <w:rPr>
                <w:color w:val="000000" w:themeColor="text1"/>
              </w:rPr>
            </w:pPr>
          </w:p>
          <w:p w14:paraId="23A86223" w14:textId="77777777" w:rsidR="001338F9" w:rsidRPr="008E2A21" w:rsidRDefault="001338F9" w:rsidP="00494EF1">
            <w:pPr>
              <w:spacing w:after="0" w:line="240" w:lineRule="auto"/>
              <w:rPr>
                <w:color w:val="000000" w:themeColor="text1"/>
              </w:rPr>
            </w:pPr>
          </w:p>
          <w:p w14:paraId="0DC99676" w14:textId="77777777" w:rsidR="001338F9" w:rsidRPr="008E2A21" w:rsidRDefault="001338F9" w:rsidP="00494EF1">
            <w:pPr>
              <w:spacing w:after="0" w:line="240" w:lineRule="auto"/>
              <w:rPr>
                <w:color w:val="000000" w:themeColor="text1"/>
              </w:rPr>
            </w:pPr>
          </w:p>
        </w:tc>
        <w:tc>
          <w:tcPr>
            <w:tcW w:w="11056" w:type="dxa"/>
            <w:tcBorders>
              <w:bottom w:val="single" w:sz="4" w:space="0" w:color="000000"/>
            </w:tcBorders>
          </w:tcPr>
          <w:p w14:paraId="099DD3C2" w14:textId="77777777" w:rsidR="001338F9" w:rsidRPr="008E2A21" w:rsidRDefault="001338F9" w:rsidP="00494EF1">
            <w:pPr>
              <w:spacing w:after="0" w:line="240" w:lineRule="auto"/>
              <w:rPr>
                <w:color w:val="000000" w:themeColor="text1"/>
              </w:rPr>
            </w:pPr>
            <w:r w:rsidRPr="008E2A21">
              <w:rPr>
                <w:color w:val="000000" w:themeColor="text1"/>
              </w:rPr>
              <w:t>Les principaux critères financiers de choix d’investissement</w:t>
            </w:r>
          </w:p>
          <w:p w14:paraId="06D1775F" w14:textId="77777777" w:rsidR="001338F9" w:rsidRPr="008E2A21" w:rsidRDefault="001338F9" w:rsidP="00494EF1">
            <w:pPr>
              <w:spacing w:after="0" w:line="240" w:lineRule="auto"/>
              <w:jc w:val="both"/>
              <w:rPr>
                <w:color w:val="000000" w:themeColor="text1"/>
              </w:rPr>
            </w:pPr>
            <w:r w:rsidRPr="008E2A21">
              <w:rPr>
                <w:color w:val="000000" w:themeColor="text1"/>
              </w:rPr>
              <w:t>Les coûts d’exploitation et financiers liés à l’investissement</w:t>
            </w:r>
          </w:p>
          <w:p w14:paraId="2CDD2C56" w14:textId="77777777" w:rsidR="001338F9" w:rsidRPr="008E2A21" w:rsidRDefault="001338F9" w:rsidP="00494EF1">
            <w:pPr>
              <w:spacing w:after="0" w:line="240" w:lineRule="auto"/>
              <w:rPr>
                <w:color w:val="000000" w:themeColor="text1"/>
              </w:rPr>
            </w:pPr>
            <w:r w:rsidRPr="008E2A21">
              <w:rPr>
                <w:color w:val="000000" w:themeColor="text1"/>
              </w:rPr>
              <w:t>Les flux nets de trésorerie</w:t>
            </w:r>
          </w:p>
          <w:p w14:paraId="3BFABB41" w14:textId="77777777" w:rsidR="001338F9" w:rsidRPr="008E2A21" w:rsidRDefault="001338F9" w:rsidP="00494EF1">
            <w:pPr>
              <w:spacing w:after="0" w:line="240" w:lineRule="auto"/>
              <w:jc w:val="both"/>
              <w:rPr>
                <w:color w:val="000000" w:themeColor="text1"/>
              </w:rPr>
            </w:pPr>
            <w:r w:rsidRPr="008E2A21">
              <w:rPr>
                <w:color w:val="000000" w:themeColor="text1"/>
              </w:rPr>
              <w:t>Le calcul des flux nets de trésorerie.</w:t>
            </w:r>
          </w:p>
          <w:p w14:paraId="1CEE888E" w14:textId="77777777" w:rsidR="001338F9" w:rsidRPr="008E2A21" w:rsidRDefault="001338F9" w:rsidP="00494EF1">
            <w:pPr>
              <w:spacing w:after="0" w:line="240" w:lineRule="auto"/>
              <w:jc w:val="both"/>
              <w:rPr>
                <w:color w:val="000000" w:themeColor="text1"/>
              </w:rPr>
            </w:pPr>
          </w:p>
          <w:p w14:paraId="05F95E32" w14:textId="77777777" w:rsidR="001338F9" w:rsidRPr="008E2A21" w:rsidRDefault="001338F9" w:rsidP="00494EF1">
            <w:pPr>
              <w:spacing w:after="0" w:line="240" w:lineRule="auto"/>
              <w:jc w:val="both"/>
              <w:rPr>
                <w:color w:val="000000" w:themeColor="text1"/>
              </w:rPr>
            </w:pPr>
            <w:r w:rsidRPr="008E2A21">
              <w:rPr>
                <w:color w:val="000000" w:themeColor="text1"/>
              </w:rPr>
              <w:t>La rentabilité des investissements</w:t>
            </w:r>
          </w:p>
          <w:p w14:paraId="4A9F56E4" w14:textId="77777777" w:rsidR="001338F9" w:rsidRPr="008E2A21" w:rsidRDefault="001338F9" w:rsidP="00494EF1">
            <w:pPr>
              <w:spacing w:after="0" w:line="240" w:lineRule="auto"/>
              <w:jc w:val="both"/>
              <w:rPr>
                <w:color w:val="000000" w:themeColor="text1"/>
              </w:rPr>
            </w:pPr>
            <w:r w:rsidRPr="008E2A21">
              <w:rPr>
                <w:color w:val="000000" w:themeColor="text1"/>
              </w:rPr>
              <w:t>La détermination des indicateurs de rentabilité des investissements : Délai de Récupération du Capital Investi ; Valeur Actuelle Nette.</w:t>
            </w:r>
          </w:p>
          <w:p w14:paraId="5DD5418B" w14:textId="77777777" w:rsidR="001338F9" w:rsidRPr="008E2A21" w:rsidRDefault="001338F9" w:rsidP="00494EF1">
            <w:pPr>
              <w:spacing w:after="0" w:line="240" w:lineRule="auto"/>
              <w:jc w:val="both"/>
              <w:rPr>
                <w:color w:val="000000" w:themeColor="text1"/>
              </w:rPr>
            </w:pPr>
          </w:p>
        </w:tc>
      </w:tr>
      <w:tr w:rsidR="001338F9" w14:paraId="566B8300" w14:textId="77777777" w:rsidTr="00494EF1">
        <w:tc>
          <w:tcPr>
            <w:tcW w:w="3573" w:type="dxa"/>
            <w:tcBorders>
              <w:bottom w:val="single" w:sz="4" w:space="0" w:color="000000"/>
            </w:tcBorders>
          </w:tcPr>
          <w:p w14:paraId="12F2EFC7" w14:textId="77777777" w:rsidR="001338F9" w:rsidRPr="008E2A21" w:rsidRDefault="001338F9" w:rsidP="00494EF1">
            <w:pPr>
              <w:spacing w:after="0" w:line="240" w:lineRule="auto"/>
              <w:rPr>
                <w:i/>
                <w:color w:val="000000" w:themeColor="text1"/>
              </w:rPr>
            </w:pPr>
            <w:r w:rsidRPr="008E2A21">
              <w:rPr>
                <w:i/>
                <w:color w:val="000000" w:themeColor="text1"/>
              </w:rPr>
              <w:t>Les indicateurs de performance</w:t>
            </w:r>
          </w:p>
          <w:p w14:paraId="0CE56DE7" w14:textId="77777777" w:rsidR="001338F9" w:rsidRPr="008E2A21" w:rsidRDefault="001338F9" w:rsidP="00494EF1">
            <w:pPr>
              <w:spacing w:after="0" w:line="240" w:lineRule="auto"/>
              <w:rPr>
                <w:i/>
                <w:color w:val="000000" w:themeColor="text1"/>
              </w:rPr>
            </w:pPr>
          </w:p>
        </w:tc>
        <w:tc>
          <w:tcPr>
            <w:tcW w:w="11056" w:type="dxa"/>
            <w:tcBorders>
              <w:bottom w:val="single" w:sz="4" w:space="0" w:color="000000"/>
            </w:tcBorders>
          </w:tcPr>
          <w:p w14:paraId="58B5EAC4" w14:textId="77777777" w:rsidR="001338F9" w:rsidRPr="008E2A21" w:rsidRDefault="001338F9" w:rsidP="00494EF1">
            <w:pPr>
              <w:spacing w:after="0" w:line="240" w:lineRule="auto"/>
              <w:jc w:val="both"/>
              <w:rPr>
                <w:i/>
                <w:color w:val="000000" w:themeColor="text1"/>
              </w:rPr>
            </w:pPr>
            <w:r w:rsidRPr="008E2A21">
              <w:rPr>
                <w:i/>
                <w:color w:val="000000" w:themeColor="text1"/>
              </w:rPr>
              <w:t>Les principaux indicateurs du tableau de bord</w:t>
            </w:r>
          </w:p>
          <w:p w14:paraId="55FC55B7" w14:textId="77777777" w:rsidR="001338F9" w:rsidRPr="008E2A21" w:rsidRDefault="001338F9" w:rsidP="00494EF1">
            <w:pPr>
              <w:spacing w:after="0" w:line="240" w:lineRule="auto"/>
              <w:jc w:val="both"/>
              <w:rPr>
                <w:i/>
                <w:color w:val="000000" w:themeColor="text1"/>
              </w:rPr>
            </w:pPr>
            <w:r w:rsidRPr="008E2A21">
              <w:rPr>
                <w:i/>
                <w:color w:val="000000" w:themeColor="text1"/>
              </w:rPr>
              <w:t>Les principes de construction du tableau de bord.</w:t>
            </w:r>
          </w:p>
          <w:p w14:paraId="4C7138A1" w14:textId="77777777" w:rsidR="001338F9" w:rsidRPr="008E2A21" w:rsidRDefault="001338F9" w:rsidP="00494EF1">
            <w:pPr>
              <w:spacing w:after="0" w:line="240" w:lineRule="auto"/>
              <w:jc w:val="both"/>
              <w:rPr>
                <w:i/>
                <w:color w:val="000000" w:themeColor="text1"/>
              </w:rPr>
            </w:pPr>
            <w:r w:rsidRPr="008E2A21">
              <w:rPr>
                <w:i/>
                <w:color w:val="000000" w:themeColor="text1"/>
              </w:rPr>
              <w:t>Les indicateurs commerciaux : quantités vendues, panier moyen, taux de transformation, indice de vente, indice de passage, indice d’attractivité, etc.</w:t>
            </w:r>
          </w:p>
          <w:p w14:paraId="2E964897" w14:textId="77777777" w:rsidR="001338F9" w:rsidRPr="008E2A21" w:rsidRDefault="001338F9" w:rsidP="00494EF1">
            <w:pPr>
              <w:spacing w:after="0" w:line="240" w:lineRule="auto"/>
              <w:jc w:val="both"/>
              <w:rPr>
                <w:i/>
                <w:color w:val="000000" w:themeColor="text1"/>
              </w:rPr>
            </w:pPr>
            <w:r w:rsidRPr="008E2A21">
              <w:rPr>
                <w:i/>
                <w:color w:val="000000" w:themeColor="text1"/>
              </w:rPr>
              <w:t>Les indicateurs financiers : chiffre d’affaires, marge brute, marge nette, marge commerciale, taux de marge, taux de marque.</w:t>
            </w:r>
          </w:p>
        </w:tc>
      </w:tr>
      <w:tr w:rsidR="001338F9" w14:paraId="09546847" w14:textId="77777777" w:rsidTr="00494EF1">
        <w:tc>
          <w:tcPr>
            <w:tcW w:w="3573" w:type="dxa"/>
            <w:tcBorders>
              <w:top w:val="single" w:sz="4" w:space="0" w:color="000000"/>
              <w:bottom w:val="single" w:sz="4" w:space="0" w:color="000000"/>
            </w:tcBorders>
          </w:tcPr>
          <w:p w14:paraId="758D6F0A" w14:textId="77777777" w:rsidR="001338F9" w:rsidRPr="008E2A21" w:rsidRDefault="001338F9" w:rsidP="00494EF1">
            <w:pPr>
              <w:spacing w:after="0" w:line="240" w:lineRule="auto"/>
              <w:jc w:val="both"/>
              <w:rPr>
                <w:color w:val="000000" w:themeColor="text1"/>
              </w:rPr>
            </w:pPr>
            <w:r w:rsidRPr="008E2A21">
              <w:rPr>
                <w:color w:val="000000" w:themeColor="text1"/>
              </w:rPr>
              <w:t>La rentabilité de l’activité</w:t>
            </w:r>
          </w:p>
          <w:p w14:paraId="4DE9BCE1" w14:textId="77777777" w:rsidR="001338F9" w:rsidRPr="008E2A21" w:rsidRDefault="001338F9" w:rsidP="00494EF1">
            <w:pPr>
              <w:spacing w:after="0" w:line="240" w:lineRule="auto"/>
              <w:rPr>
                <w:color w:val="000000" w:themeColor="text1"/>
              </w:rPr>
            </w:pPr>
          </w:p>
        </w:tc>
        <w:tc>
          <w:tcPr>
            <w:tcW w:w="11056" w:type="dxa"/>
            <w:tcBorders>
              <w:top w:val="single" w:sz="4" w:space="0" w:color="000000"/>
              <w:bottom w:val="single" w:sz="4" w:space="0" w:color="000000"/>
            </w:tcBorders>
          </w:tcPr>
          <w:p w14:paraId="1AFFF375" w14:textId="77777777" w:rsidR="001338F9" w:rsidRPr="008E2A21" w:rsidRDefault="001338F9" w:rsidP="00494EF1">
            <w:pPr>
              <w:spacing w:after="0" w:line="240" w:lineRule="auto"/>
              <w:rPr>
                <w:color w:val="000000" w:themeColor="text1"/>
              </w:rPr>
            </w:pPr>
            <w:r w:rsidRPr="008E2A21">
              <w:rPr>
                <w:color w:val="000000" w:themeColor="text1"/>
              </w:rPr>
              <w:t>Les indicateurs de rentabilité de l’activité</w:t>
            </w:r>
          </w:p>
          <w:p w14:paraId="682BA2AC" w14:textId="77777777" w:rsidR="001338F9" w:rsidRPr="008E2A21" w:rsidRDefault="001338F9" w:rsidP="00494EF1">
            <w:pPr>
              <w:spacing w:after="0" w:line="240" w:lineRule="auto"/>
              <w:jc w:val="both"/>
              <w:rPr>
                <w:color w:val="000000" w:themeColor="text1"/>
              </w:rPr>
            </w:pPr>
            <w:r w:rsidRPr="008E2A21">
              <w:rPr>
                <w:color w:val="000000" w:themeColor="text1"/>
              </w:rPr>
              <w:t>Le calcul des marges, du résultat et du seuil de rentabilité.</w:t>
            </w:r>
          </w:p>
          <w:p w14:paraId="6D0C9226" w14:textId="77777777" w:rsidR="001338F9" w:rsidRPr="008E2A21" w:rsidRDefault="001338F9" w:rsidP="00494EF1">
            <w:pPr>
              <w:spacing w:after="0" w:line="240" w:lineRule="auto"/>
              <w:jc w:val="both"/>
              <w:rPr>
                <w:color w:val="000000" w:themeColor="text1"/>
              </w:rPr>
            </w:pPr>
            <w:r w:rsidRPr="008E2A21">
              <w:rPr>
                <w:color w:val="000000" w:themeColor="text1"/>
              </w:rPr>
              <w:t>Les actions de remédiation ou d’amélioration</w:t>
            </w:r>
          </w:p>
          <w:p w14:paraId="164FAAB4" w14:textId="77777777" w:rsidR="001338F9" w:rsidRPr="008E2A21" w:rsidRDefault="001338F9" w:rsidP="00494EF1">
            <w:pPr>
              <w:spacing w:after="0" w:line="240" w:lineRule="auto"/>
              <w:jc w:val="both"/>
              <w:rPr>
                <w:color w:val="000000" w:themeColor="text1"/>
              </w:rPr>
            </w:pPr>
            <w:r w:rsidRPr="008E2A21">
              <w:rPr>
                <w:color w:val="000000" w:themeColor="text1"/>
              </w:rPr>
              <w:t>Les mesures à prendre en compte pour améliorer la rentabilité : augmenter les ventes et/ou diminuer les coûts.</w:t>
            </w:r>
          </w:p>
        </w:tc>
      </w:tr>
      <w:tr w:rsidR="001338F9" w14:paraId="615A2E55" w14:textId="77777777" w:rsidTr="00494EF1">
        <w:tc>
          <w:tcPr>
            <w:tcW w:w="3573" w:type="dxa"/>
            <w:tcBorders>
              <w:top w:val="single" w:sz="4" w:space="0" w:color="000000"/>
              <w:bottom w:val="single" w:sz="4" w:space="0" w:color="000000"/>
            </w:tcBorders>
          </w:tcPr>
          <w:p w14:paraId="063117B4" w14:textId="77777777" w:rsidR="001338F9" w:rsidRPr="008E2A21" w:rsidRDefault="001338F9" w:rsidP="00494EF1">
            <w:pPr>
              <w:spacing w:after="0" w:line="240" w:lineRule="auto"/>
              <w:jc w:val="both"/>
              <w:rPr>
                <w:color w:val="000000" w:themeColor="text1"/>
              </w:rPr>
            </w:pPr>
            <w:r w:rsidRPr="008E2A21">
              <w:rPr>
                <w:color w:val="000000" w:themeColor="text1"/>
              </w:rPr>
              <w:t xml:space="preserve">Le </w:t>
            </w:r>
            <w:proofErr w:type="spellStart"/>
            <w:r w:rsidRPr="008E2A21">
              <w:rPr>
                <w:color w:val="000000" w:themeColor="text1"/>
              </w:rPr>
              <w:t>reporting</w:t>
            </w:r>
            <w:proofErr w:type="spellEnd"/>
          </w:p>
          <w:p w14:paraId="246718CD" w14:textId="77777777" w:rsidR="001338F9" w:rsidRPr="008E2A21" w:rsidRDefault="001338F9" w:rsidP="00494EF1">
            <w:pPr>
              <w:spacing w:after="0" w:line="240" w:lineRule="auto"/>
              <w:jc w:val="both"/>
              <w:rPr>
                <w:color w:val="000000" w:themeColor="text1"/>
              </w:rPr>
            </w:pPr>
          </w:p>
        </w:tc>
        <w:tc>
          <w:tcPr>
            <w:tcW w:w="11056" w:type="dxa"/>
            <w:tcBorders>
              <w:top w:val="single" w:sz="4" w:space="0" w:color="000000"/>
              <w:bottom w:val="single" w:sz="4" w:space="0" w:color="000000"/>
            </w:tcBorders>
          </w:tcPr>
          <w:p w14:paraId="222F4418" w14:textId="77777777" w:rsidR="001338F9" w:rsidRPr="008E2A21" w:rsidRDefault="001338F9" w:rsidP="00494EF1">
            <w:pPr>
              <w:spacing w:after="0" w:line="240" w:lineRule="auto"/>
              <w:jc w:val="both"/>
              <w:rPr>
                <w:color w:val="000000" w:themeColor="text1"/>
              </w:rPr>
            </w:pPr>
            <w:r w:rsidRPr="008E2A21">
              <w:rPr>
                <w:color w:val="000000" w:themeColor="text1"/>
              </w:rPr>
              <w:t xml:space="preserve">Les supports et les canaux du </w:t>
            </w:r>
            <w:proofErr w:type="spellStart"/>
            <w:r w:rsidRPr="008E2A21">
              <w:rPr>
                <w:color w:val="000000" w:themeColor="text1"/>
              </w:rPr>
              <w:t>reporting</w:t>
            </w:r>
            <w:proofErr w:type="spellEnd"/>
          </w:p>
          <w:p w14:paraId="0A541B79" w14:textId="77777777" w:rsidR="001338F9" w:rsidRPr="008E2A21" w:rsidRDefault="001338F9" w:rsidP="00494EF1">
            <w:pPr>
              <w:spacing w:after="0" w:line="240" w:lineRule="auto"/>
              <w:jc w:val="both"/>
              <w:rPr>
                <w:color w:val="000000" w:themeColor="text1"/>
              </w:rPr>
            </w:pPr>
            <w:r w:rsidRPr="008E2A21">
              <w:rPr>
                <w:color w:val="000000" w:themeColor="text1"/>
              </w:rPr>
              <w:t>Les comptes rendus d’activité, les notes internes, l’affichage en point de vente, les réunions en face à face, synchrones ou asynchrones.</w:t>
            </w:r>
          </w:p>
          <w:p w14:paraId="57AEA0C3" w14:textId="77777777" w:rsidR="001338F9" w:rsidRPr="008E2A21" w:rsidRDefault="001338F9" w:rsidP="00494EF1">
            <w:pPr>
              <w:spacing w:after="0" w:line="240" w:lineRule="auto"/>
              <w:jc w:val="both"/>
              <w:rPr>
                <w:color w:val="000000" w:themeColor="text1"/>
              </w:rPr>
            </w:pPr>
            <w:r w:rsidRPr="008E2A21">
              <w:rPr>
                <w:color w:val="000000" w:themeColor="text1"/>
              </w:rPr>
              <w:t>L’Intranet, la messagerie électronique.</w:t>
            </w:r>
          </w:p>
        </w:tc>
      </w:tr>
    </w:tbl>
    <w:p w14:paraId="5BB05662" w14:textId="339131DE" w:rsidR="00494EF1" w:rsidRDefault="00494EF1" w:rsidP="001338F9">
      <w:pPr>
        <w:spacing w:after="0"/>
        <w:rPr>
          <w:b/>
          <w:i/>
        </w:rPr>
      </w:pPr>
    </w:p>
    <w:p w14:paraId="6432EB56" w14:textId="77777777" w:rsidR="00494EF1" w:rsidRDefault="00494EF1">
      <w:pPr>
        <w:spacing w:after="0" w:line="240" w:lineRule="auto"/>
        <w:rPr>
          <w:b/>
          <w:i/>
        </w:rPr>
      </w:pPr>
      <w:r>
        <w:rPr>
          <w:b/>
          <w:i/>
        </w:rPr>
        <w:br w:type="page"/>
      </w:r>
    </w:p>
    <w:p w14:paraId="7AC0051D" w14:textId="77777777" w:rsidR="001338F9" w:rsidRDefault="001338F9" w:rsidP="001338F9">
      <w:pPr>
        <w:spacing w:after="0"/>
        <w:rPr>
          <w:b/>
          <w:i/>
        </w:rPr>
      </w:pPr>
    </w:p>
    <w:tbl>
      <w:tblPr>
        <w:tblStyle w:val="Grilledutableau"/>
        <w:tblW w:w="14600" w:type="dxa"/>
        <w:tblInd w:w="137" w:type="dxa"/>
        <w:tblLook w:val="04A0" w:firstRow="1" w:lastRow="0" w:firstColumn="1" w:lastColumn="0" w:noHBand="0" w:noVBand="1"/>
      </w:tblPr>
      <w:tblGrid>
        <w:gridCol w:w="4111"/>
        <w:gridCol w:w="10489"/>
      </w:tblGrid>
      <w:tr w:rsidR="00494EF1" w14:paraId="2A983199" w14:textId="77777777" w:rsidTr="00494EF1">
        <w:tc>
          <w:tcPr>
            <w:tcW w:w="14600" w:type="dxa"/>
            <w:gridSpan w:val="2"/>
          </w:tcPr>
          <w:p w14:paraId="4AAB5993" w14:textId="77777777" w:rsidR="00494EF1" w:rsidRPr="00E02192" w:rsidRDefault="00494EF1" w:rsidP="00494EF1">
            <w:pPr>
              <w:jc w:val="center"/>
              <w:rPr>
                <w:rFonts w:cs="Calibri"/>
                <w:b/>
                <w:i/>
                <w:color w:val="00B050"/>
                <w:sz w:val="28"/>
                <w:szCs w:val="28"/>
              </w:rPr>
            </w:pPr>
            <w:r w:rsidRPr="00E02192">
              <w:rPr>
                <w:rFonts w:cs="Calibri"/>
                <w:b/>
                <w:i/>
                <w:color w:val="00B050"/>
                <w:sz w:val="28"/>
                <w:szCs w:val="28"/>
              </w:rPr>
              <w:t>Bloc de compétence n°4 : Manager l’équipe commerciale</w:t>
            </w:r>
          </w:p>
        </w:tc>
      </w:tr>
      <w:tr w:rsidR="00494EF1" w14:paraId="277B8035" w14:textId="77777777" w:rsidTr="00494EF1">
        <w:tc>
          <w:tcPr>
            <w:tcW w:w="14600" w:type="dxa"/>
            <w:gridSpan w:val="2"/>
          </w:tcPr>
          <w:p w14:paraId="2BB38237" w14:textId="77777777" w:rsidR="00494EF1" w:rsidRPr="00E02192" w:rsidRDefault="00494EF1" w:rsidP="00494EF1">
            <w:pPr>
              <w:jc w:val="center"/>
              <w:rPr>
                <w:rFonts w:cs="Calibri"/>
                <w:b/>
                <w:i/>
                <w:color w:val="00B050"/>
                <w:sz w:val="28"/>
                <w:szCs w:val="28"/>
              </w:rPr>
            </w:pPr>
            <w:r w:rsidRPr="00E02192">
              <w:rPr>
                <w:rFonts w:cs="Calibri"/>
                <w:b/>
                <w:i/>
                <w:color w:val="00B050"/>
                <w:sz w:val="28"/>
                <w:szCs w:val="28"/>
              </w:rPr>
              <w:t>Organiser le travail de l’équipe commerciale</w:t>
            </w:r>
          </w:p>
          <w:p w14:paraId="20974456" w14:textId="77777777" w:rsidR="00494EF1" w:rsidRPr="00E02192" w:rsidRDefault="00494EF1" w:rsidP="00494EF1">
            <w:pPr>
              <w:jc w:val="center"/>
              <w:rPr>
                <w:rFonts w:cs="Calibri"/>
                <w:b/>
                <w:i/>
                <w:color w:val="00B050"/>
                <w:sz w:val="28"/>
                <w:szCs w:val="28"/>
              </w:rPr>
            </w:pPr>
            <w:r w:rsidRPr="00E02192">
              <w:rPr>
                <w:rFonts w:cs="Calibri"/>
                <w:b/>
                <w:i/>
                <w:color w:val="00B050"/>
                <w:sz w:val="28"/>
                <w:szCs w:val="28"/>
              </w:rPr>
              <w:t>Recruter des collaborateurs</w:t>
            </w:r>
          </w:p>
          <w:p w14:paraId="66254E3D" w14:textId="77777777" w:rsidR="00494EF1" w:rsidRPr="00E02192" w:rsidRDefault="00494EF1" w:rsidP="00494EF1">
            <w:pPr>
              <w:jc w:val="center"/>
              <w:rPr>
                <w:rFonts w:cs="Calibri"/>
                <w:b/>
                <w:i/>
                <w:color w:val="00B050"/>
                <w:sz w:val="28"/>
                <w:szCs w:val="28"/>
              </w:rPr>
            </w:pPr>
            <w:r w:rsidRPr="00E02192">
              <w:rPr>
                <w:rFonts w:cs="Calibri"/>
                <w:b/>
                <w:i/>
                <w:color w:val="00B050"/>
                <w:sz w:val="28"/>
                <w:szCs w:val="28"/>
              </w:rPr>
              <w:t>Animer l’équipe commerciale</w:t>
            </w:r>
          </w:p>
          <w:p w14:paraId="40376070" w14:textId="77777777" w:rsidR="00494EF1" w:rsidRPr="00E02192" w:rsidRDefault="00494EF1" w:rsidP="00494EF1">
            <w:pPr>
              <w:jc w:val="center"/>
              <w:rPr>
                <w:rFonts w:cs="Calibri"/>
                <w:b/>
                <w:i/>
                <w:color w:val="00B050"/>
                <w:sz w:val="28"/>
                <w:szCs w:val="28"/>
              </w:rPr>
            </w:pPr>
            <w:r w:rsidRPr="00E02192">
              <w:rPr>
                <w:rFonts w:cs="Calibri"/>
                <w:b/>
                <w:i/>
                <w:color w:val="00B050"/>
                <w:sz w:val="28"/>
                <w:szCs w:val="28"/>
              </w:rPr>
              <w:t>Evaluer les performances de l’équipe commerciale</w:t>
            </w:r>
          </w:p>
        </w:tc>
      </w:tr>
      <w:tr w:rsidR="00494EF1" w14:paraId="1C9789F4" w14:textId="77777777" w:rsidTr="00494EF1">
        <w:tc>
          <w:tcPr>
            <w:tcW w:w="4111" w:type="dxa"/>
          </w:tcPr>
          <w:p w14:paraId="47F22AB9" w14:textId="77777777" w:rsidR="00494EF1" w:rsidRPr="00FC3A05" w:rsidRDefault="00494EF1" w:rsidP="00494EF1">
            <w:pPr>
              <w:jc w:val="center"/>
              <w:rPr>
                <w:b/>
              </w:rPr>
            </w:pPr>
            <w:r w:rsidRPr="00FC3A05">
              <w:rPr>
                <w:b/>
              </w:rPr>
              <w:t>Savoirs associés</w:t>
            </w:r>
          </w:p>
        </w:tc>
        <w:tc>
          <w:tcPr>
            <w:tcW w:w="10489" w:type="dxa"/>
          </w:tcPr>
          <w:p w14:paraId="305DE143" w14:textId="77777777" w:rsidR="00494EF1" w:rsidRPr="00FC3A05" w:rsidRDefault="00494EF1" w:rsidP="00494EF1">
            <w:pPr>
              <w:jc w:val="center"/>
              <w:rPr>
                <w:b/>
              </w:rPr>
            </w:pPr>
            <w:r w:rsidRPr="00FC3A05">
              <w:rPr>
                <w:b/>
              </w:rPr>
              <w:t>Notions</w:t>
            </w:r>
          </w:p>
        </w:tc>
      </w:tr>
      <w:tr w:rsidR="00494EF1" w:rsidRPr="00494EF1" w14:paraId="3697B8C7" w14:textId="77777777" w:rsidTr="00494EF1">
        <w:tc>
          <w:tcPr>
            <w:tcW w:w="4111" w:type="dxa"/>
          </w:tcPr>
          <w:p w14:paraId="7C941B78"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 cadre légal et réglementaire de l’activité </w:t>
            </w:r>
          </w:p>
          <w:p w14:paraId="58EED5E2" w14:textId="77777777" w:rsidR="00494EF1" w:rsidRPr="00494EF1" w:rsidRDefault="00494EF1" w:rsidP="00494EF1">
            <w:pPr>
              <w:spacing w:after="0" w:line="240" w:lineRule="auto"/>
              <w:jc w:val="both"/>
              <w:rPr>
                <w:color w:val="000000" w:themeColor="text1"/>
              </w:rPr>
            </w:pPr>
          </w:p>
        </w:tc>
        <w:tc>
          <w:tcPr>
            <w:tcW w:w="10489" w:type="dxa"/>
          </w:tcPr>
          <w:p w14:paraId="5D9032B7" w14:textId="77777777" w:rsidR="00494EF1" w:rsidRPr="00494EF1" w:rsidRDefault="00494EF1" w:rsidP="00494EF1">
            <w:pPr>
              <w:spacing w:after="0" w:line="240" w:lineRule="auto"/>
              <w:jc w:val="both"/>
              <w:rPr>
                <w:rFonts w:cs="Calibri"/>
                <w:i/>
                <w:color w:val="D60093"/>
              </w:rPr>
            </w:pPr>
            <w:r w:rsidRPr="00494EF1">
              <w:rPr>
                <w:rFonts w:cs="Calibri"/>
                <w:i/>
                <w:color w:val="D60093"/>
              </w:rPr>
              <w:t>Les sources : lois, conventions collectives, accords professionnels, accords de branches et accords sectoriels ; le règlement intérieur.</w:t>
            </w:r>
          </w:p>
          <w:p w14:paraId="7FF67ABB" w14:textId="77777777" w:rsidR="00494EF1" w:rsidRPr="00494EF1" w:rsidRDefault="00494EF1" w:rsidP="00494EF1">
            <w:pPr>
              <w:spacing w:after="0" w:line="240" w:lineRule="auto"/>
              <w:jc w:val="both"/>
              <w:rPr>
                <w:rFonts w:cs="Calibri"/>
                <w:i/>
                <w:color w:val="D60093"/>
              </w:rPr>
            </w:pPr>
            <w:r w:rsidRPr="00494EF1">
              <w:rPr>
                <w:rFonts w:cs="Calibri"/>
                <w:i/>
                <w:color w:val="D60093"/>
              </w:rPr>
              <w:t>Le management de l’équipe commerciale dans le cadre législatif et les différents niveaux réglementaires (convention collective, accord interne, accord de branche, règlement intérieur).</w:t>
            </w:r>
          </w:p>
          <w:p w14:paraId="54A2B485" w14:textId="77777777" w:rsidR="00494EF1" w:rsidRPr="00494EF1" w:rsidRDefault="00494EF1" w:rsidP="00494EF1">
            <w:pPr>
              <w:spacing w:after="0" w:line="240" w:lineRule="auto"/>
              <w:jc w:val="both"/>
              <w:rPr>
                <w:rFonts w:cs="Calibri"/>
                <w:i/>
                <w:color w:val="D60093"/>
              </w:rPr>
            </w:pPr>
            <w:r w:rsidRPr="00494EF1">
              <w:rPr>
                <w:rFonts w:cs="Calibri"/>
                <w:i/>
                <w:color w:val="D60093"/>
              </w:rPr>
              <w:t>Les principales dispositions du Code de travail</w:t>
            </w:r>
          </w:p>
          <w:p w14:paraId="2A9259D3" w14:textId="3CE913A0" w:rsidR="00494EF1" w:rsidRPr="00494EF1" w:rsidRDefault="00494EF1" w:rsidP="00494EF1">
            <w:pPr>
              <w:spacing w:after="0" w:line="240" w:lineRule="auto"/>
              <w:jc w:val="both"/>
              <w:rPr>
                <w:rFonts w:cs="Calibri"/>
                <w:i/>
                <w:color w:val="D60093"/>
              </w:rPr>
            </w:pPr>
            <w:r w:rsidRPr="00494EF1">
              <w:rPr>
                <w:rFonts w:cs="Calibri"/>
                <w:i/>
                <w:color w:val="D60093"/>
              </w:rPr>
              <w:t xml:space="preserve">La réglementation relative à l’organisation de la vie au travail : l’embauche, la durée du travail, la durée des congés, la cessation du travail, les conditions de travail, l’hygiène et la sécurité </w:t>
            </w:r>
          </w:p>
          <w:p w14:paraId="4B8CCD1E" w14:textId="77777777" w:rsidR="00494EF1" w:rsidRPr="00494EF1" w:rsidRDefault="00494EF1" w:rsidP="00494EF1">
            <w:pPr>
              <w:spacing w:after="0" w:line="240" w:lineRule="auto"/>
              <w:jc w:val="both"/>
              <w:rPr>
                <w:rFonts w:cs="Calibri"/>
                <w:i/>
                <w:color w:val="D60093"/>
              </w:rPr>
            </w:pPr>
            <w:r w:rsidRPr="00494EF1">
              <w:rPr>
                <w:rFonts w:cs="Calibri"/>
                <w:i/>
                <w:color w:val="D60093"/>
              </w:rPr>
              <w:t xml:space="preserve">Les dispositions réglementaires et légales, affectant les différentes étapes de la « vie au travail » des collaborateurs : </w:t>
            </w:r>
          </w:p>
          <w:p w14:paraId="73A5CD17" w14:textId="77777777" w:rsidR="00494EF1" w:rsidRPr="00494EF1" w:rsidRDefault="00494EF1" w:rsidP="00494EF1">
            <w:pPr>
              <w:spacing w:after="0" w:line="240" w:lineRule="auto"/>
              <w:jc w:val="both"/>
              <w:rPr>
                <w:rFonts w:cs="Calibri"/>
                <w:i/>
                <w:color w:val="D60093"/>
              </w:rPr>
            </w:pPr>
            <w:r w:rsidRPr="00494EF1">
              <w:rPr>
                <w:rFonts w:cs="Calibri"/>
                <w:i/>
                <w:color w:val="D60093"/>
              </w:rPr>
              <w:t>Recrutement </w:t>
            </w:r>
          </w:p>
          <w:p w14:paraId="3AB9D95A" w14:textId="77777777" w:rsidR="00494EF1" w:rsidRPr="00494EF1" w:rsidRDefault="00494EF1" w:rsidP="00494EF1">
            <w:pPr>
              <w:spacing w:after="0" w:line="240" w:lineRule="auto"/>
              <w:jc w:val="both"/>
              <w:rPr>
                <w:rFonts w:cs="Calibri"/>
                <w:i/>
                <w:color w:val="D60093"/>
              </w:rPr>
            </w:pPr>
            <w:r w:rsidRPr="00494EF1">
              <w:rPr>
                <w:rFonts w:cs="Calibri"/>
                <w:i/>
                <w:color w:val="D60093"/>
              </w:rPr>
              <w:t>Déroulement de carrière</w:t>
            </w:r>
          </w:p>
          <w:p w14:paraId="06D41E0D" w14:textId="77777777" w:rsidR="00494EF1" w:rsidRPr="00494EF1" w:rsidRDefault="00494EF1" w:rsidP="00494EF1">
            <w:pPr>
              <w:spacing w:after="0" w:line="240" w:lineRule="auto"/>
              <w:jc w:val="both"/>
              <w:rPr>
                <w:rFonts w:cs="Calibri"/>
                <w:i/>
                <w:color w:val="D60093"/>
              </w:rPr>
            </w:pPr>
            <w:r w:rsidRPr="00494EF1">
              <w:rPr>
                <w:rFonts w:cs="Calibri"/>
                <w:i/>
                <w:color w:val="D60093"/>
              </w:rPr>
              <w:t>Cessation d’activité</w:t>
            </w:r>
          </w:p>
          <w:p w14:paraId="12918FB9" w14:textId="77777777" w:rsidR="00494EF1" w:rsidRPr="00494EF1" w:rsidRDefault="00494EF1" w:rsidP="00494EF1">
            <w:pPr>
              <w:spacing w:after="0" w:line="240" w:lineRule="auto"/>
              <w:jc w:val="both"/>
              <w:rPr>
                <w:rFonts w:cs="Calibri"/>
                <w:i/>
                <w:color w:val="D60093"/>
              </w:rPr>
            </w:pPr>
            <w:r w:rsidRPr="00494EF1">
              <w:rPr>
                <w:rFonts w:cs="Calibri"/>
                <w:i/>
                <w:color w:val="D60093"/>
              </w:rPr>
              <w:t>Conditions de travail</w:t>
            </w:r>
          </w:p>
          <w:p w14:paraId="75436C1E" w14:textId="77777777" w:rsidR="00494EF1" w:rsidRPr="00494EF1" w:rsidRDefault="00494EF1" w:rsidP="00494EF1">
            <w:pPr>
              <w:spacing w:after="0" w:line="240" w:lineRule="auto"/>
              <w:jc w:val="both"/>
              <w:rPr>
                <w:color w:val="000000" w:themeColor="text1"/>
              </w:rPr>
            </w:pPr>
          </w:p>
        </w:tc>
      </w:tr>
      <w:tr w:rsidR="00494EF1" w:rsidRPr="00494EF1" w14:paraId="7EC3AC6C" w14:textId="77777777" w:rsidTr="00494EF1">
        <w:tc>
          <w:tcPr>
            <w:tcW w:w="4111" w:type="dxa"/>
          </w:tcPr>
          <w:p w14:paraId="75988A20" w14:textId="77777777" w:rsidR="00494EF1" w:rsidRPr="00494EF1" w:rsidRDefault="00494EF1" w:rsidP="00494EF1">
            <w:pPr>
              <w:spacing w:after="0" w:line="240" w:lineRule="auto"/>
              <w:jc w:val="both"/>
              <w:rPr>
                <w:color w:val="000000" w:themeColor="text1"/>
              </w:rPr>
            </w:pPr>
            <w:r w:rsidRPr="00494EF1">
              <w:rPr>
                <w:color w:val="000000" w:themeColor="text1"/>
              </w:rPr>
              <w:t>La planification du travail</w:t>
            </w:r>
          </w:p>
        </w:tc>
        <w:tc>
          <w:tcPr>
            <w:tcW w:w="10489" w:type="dxa"/>
          </w:tcPr>
          <w:p w14:paraId="77F7D3AD" w14:textId="77777777" w:rsidR="00494EF1" w:rsidRPr="00494EF1" w:rsidRDefault="00494EF1" w:rsidP="00494EF1">
            <w:pPr>
              <w:spacing w:after="0" w:line="240" w:lineRule="auto"/>
              <w:jc w:val="both"/>
              <w:rPr>
                <w:color w:val="000000" w:themeColor="text1"/>
              </w:rPr>
            </w:pPr>
            <w:r w:rsidRPr="00494EF1">
              <w:rPr>
                <w:color w:val="000000" w:themeColor="text1"/>
              </w:rPr>
              <w:t>Les différents types de plannings</w:t>
            </w:r>
          </w:p>
          <w:p w14:paraId="79807CF8" w14:textId="77777777" w:rsidR="00494EF1" w:rsidRPr="00494EF1" w:rsidRDefault="00494EF1" w:rsidP="00494EF1">
            <w:pPr>
              <w:spacing w:after="0" w:line="240" w:lineRule="auto"/>
              <w:jc w:val="both"/>
              <w:rPr>
                <w:color w:val="000000" w:themeColor="text1"/>
              </w:rPr>
            </w:pPr>
            <w:proofErr w:type="gramStart"/>
            <w:r w:rsidRPr="00494EF1">
              <w:rPr>
                <w:color w:val="000000" w:themeColor="text1"/>
              </w:rPr>
              <w:t>projet</w:t>
            </w:r>
            <w:proofErr w:type="gramEnd"/>
          </w:p>
          <w:p w14:paraId="5147304D" w14:textId="77777777" w:rsidR="00494EF1" w:rsidRPr="00494EF1" w:rsidRDefault="00494EF1" w:rsidP="00494EF1">
            <w:pPr>
              <w:spacing w:after="0" w:line="240" w:lineRule="auto"/>
              <w:jc w:val="both"/>
              <w:rPr>
                <w:color w:val="000000" w:themeColor="text1"/>
              </w:rPr>
            </w:pPr>
            <w:proofErr w:type="gramStart"/>
            <w:r w:rsidRPr="00494EF1">
              <w:rPr>
                <w:color w:val="000000" w:themeColor="text1"/>
              </w:rPr>
              <w:t>présence</w:t>
            </w:r>
            <w:proofErr w:type="gramEnd"/>
            <w:r w:rsidRPr="00494EF1">
              <w:rPr>
                <w:color w:val="000000" w:themeColor="text1"/>
              </w:rPr>
              <w:t xml:space="preserve"> hebdomadaire sur le lieu de vente,</w:t>
            </w:r>
          </w:p>
          <w:p w14:paraId="3314DDB4" w14:textId="77777777" w:rsidR="00494EF1" w:rsidRPr="00494EF1" w:rsidRDefault="00494EF1" w:rsidP="00494EF1">
            <w:pPr>
              <w:spacing w:after="0" w:line="240" w:lineRule="auto"/>
              <w:jc w:val="both"/>
              <w:rPr>
                <w:color w:val="000000" w:themeColor="text1"/>
              </w:rPr>
            </w:pPr>
            <w:proofErr w:type="gramStart"/>
            <w:r w:rsidRPr="00494EF1">
              <w:rPr>
                <w:color w:val="000000" w:themeColor="text1"/>
              </w:rPr>
              <w:t>planning</w:t>
            </w:r>
            <w:proofErr w:type="gramEnd"/>
            <w:r w:rsidRPr="00494EF1">
              <w:rPr>
                <w:color w:val="000000" w:themeColor="text1"/>
              </w:rPr>
              <w:t xml:space="preserve"> des congés annuels,</w:t>
            </w:r>
          </w:p>
          <w:p w14:paraId="428A132A" w14:textId="77777777" w:rsidR="00494EF1" w:rsidRPr="00494EF1" w:rsidRDefault="00494EF1" w:rsidP="00494EF1">
            <w:pPr>
              <w:spacing w:after="0" w:line="240" w:lineRule="auto"/>
              <w:jc w:val="both"/>
              <w:rPr>
                <w:color w:val="000000" w:themeColor="text1"/>
              </w:rPr>
            </w:pPr>
            <w:proofErr w:type="gramStart"/>
            <w:r w:rsidRPr="00494EF1">
              <w:rPr>
                <w:color w:val="000000" w:themeColor="text1"/>
              </w:rPr>
              <w:t>planning</w:t>
            </w:r>
            <w:proofErr w:type="gramEnd"/>
            <w:r w:rsidRPr="00494EF1">
              <w:rPr>
                <w:color w:val="000000" w:themeColor="text1"/>
              </w:rPr>
              <w:t xml:space="preserve"> d’opérations commerciales (soldes) et/ou managériales (organisation d’un challenge, intégration d’un nouveau collaborateur, etc.).</w:t>
            </w:r>
          </w:p>
          <w:p w14:paraId="460E04C1" w14:textId="77777777" w:rsidR="00494EF1" w:rsidRPr="00494EF1" w:rsidRDefault="00494EF1" w:rsidP="00494EF1">
            <w:pPr>
              <w:spacing w:after="0" w:line="240" w:lineRule="auto"/>
              <w:jc w:val="both"/>
              <w:rPr>
                <w:color w:val="000000" w:themeColor="text1"/>
              </w:rPr>
            </w:pPr>
            <w:r w:rsidRPr="00494EF1">
              <w:rPr>
                <w:color w:val="000000" w:themeColor="text1"/>
              </w:rPr>
              <w:t>Les principes d’établissement de plannings</w:t>
            </w:r>
          </w:p>
          <w:p w14:paraId="22D9396E" w14:textId="77777777" w:rsidR="00494EF1" w:rsidRPr="00494EF1" w:rsidRDefault="00494EF1" w:rsidP="00494EF1">
            <w:pPr>
              <w:spacing w:after="0" w:line="240" w:lineRule="auto"/>
              <w:jc w:val="both"/>
              <w:rPr>
                <w:rFonts w:cs="Calibri"/>
                <w:i/>
                <w:color w:val="D60093"/>
              </w:rPr>
            </w:pPr>
          </w:p>
          <w:p w14:paraId="027CF839" w14:textId="77777777" w:rsidR="00494EF1" w:rsidRPr="00494EF1" w:rsidRDefault="00494EF1" w:rsidP="00494EF1">
            <w:pPr>
              <w:spacing w:after="0" w:line="240" w:lineRule="auto"/>
              <w:jc w:val="both"/>
              <w:rPr>
                <w:rFonts w:cs="Calibri"/>
                <w:i/>
                <w:color w:val="D60093"/>
              </w:rPr>
            </w:pPr>
            <w:r w:rsidRPr="00494EF1">
              <w:rPr>
                <w:rFonts w:cs="Calibri"/>
                <w:i/>
                <w:color w:val="D60093"/>
              </w:rPr>
              <w:t>Les contraintes légales, réglementaire et conventionnelles, commerciales et managériales</w:t>
            </w:r>
          </w:p>
          <w:p w14:paraId="0F4B4C38" w14:textId="77777777" w:rsidR="00494EF1" w:rsidRPr="00494EF1" w:rsidRDefault="00494EF1" w:rsidP="00494EF1">
            <w:pPr>
              <w:spacing w:after="0" w:line="240" w:lineRule="auto"/>
              <w:jc w:val="both"/>
              <w:rPr>
                <w:rFonts w:cs="Calibri"/>
                <w:i/>
                <w:color w:val="D60093"/>
              </w:rPr>
            </w:pPr>
            <w:r w:rsidRPr="00494EF1">
              <w:rPr>
                <w:rFonts w:cs="Calibri"/>
                <w:i/>
                <w:color w:val="D60093"/>
              </w:rPr>
              <w:t>La durée légale du travail, les dispositions conventionnelles.</w:t>
            </w:r>
          </w:p>
          <w:p w14:paraId="56B7CBF3" w14:textId="77777777" w:rsidR="00494EF1" w:rsidRPr="00494EF1" w:rsidRDefault="00494EF1" w:rsidP="00494EF1">
            <w:pPr>
              <w:spacing w:after="0" w:line="240" w:lineRule="auto"/>
              <w:jc w:val="both"/>
              <w:rPr>
                <w:rFonts w:cs="Calibri"/>
                <w:b/>
                <w:i/>
                <w:color w:val="00B050"/>
              </w:rPr>
            </w:pPr>
            <w:r w:rsidRPr="00494EF1">
              <w:rPr>
                <w:rFonts w:cs="Calibri"/>
                <w:b/>
                <w:i/>
                <w:color w:val="00B050"/>
              </w:rPr>
              <w:t>Les contraintes managériales</w:t>
            </w:r>
          </w:p>
          <w:p w14:paraId="6417FE52" w14:textId="77777777" w:rsidR="00494EF1" w:rsidRPr="00494EF1" w:rsidRDefault="00494EF1" w:rsidP="00494EF1">
            <w:pPr>
              <w:spacing w:after="0" w:line="240" w:lineRule="auto"/>
              <w:jc w:val="both"/>
              <w:rPr>
                <w:color w:val="000000" w:themeColor="text1"/>
              </w:rPr>
            </w:pPr>
            <w:r w:rsidRPr="00494EF1">
              <w:rPr>
                <w:color w:val="000000" w:themeColor="text1"/>
              </w:rPr>
              <w:t>La taille optimale de l’équipe commerciale : principes de calcul de taille optimale de l’équipe commerciale permettant d’assurer l’adéquation entre les besoins en personnel et les ressources disponibles.</w:t>
            </w:r>
          </w:p>
          <w:p w14:paraId="07846FDA" w14:textId="77777777" w:rsidR="00494EF1" w:rsidRPr="00494EF1" w:rsidRDefault="00494EF1" w:rsidP="00494EF1">
            <w:pPr>
              <w:spacing w:after="0" w:line="240" w:lineRule="auto"/>
              <w:jc w:val="both"/>
              <w:rPr>
                <w:color w:val="000000" w:themeColor="text1"/>
              </w:rPr>
            </w:pPr>
          </w:p>
        </w:tc>
      </w:tr>
      <w:tr w:rsidR="00494EF1" w:rsidRPr="00494EF1" w14:paraId="1D852B84" w14:textId="77777777" w:rsidTr="00494EF1">
        <w:tc>
          <w:tcPr>
            <w:tcW w:w="4111" w:type="dxa"/>
          </w:tcPr>
          <w:p w14:paraId="33BAAE36"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L’organisation des tâches</w:t>
            </w:r>
          </w:p>
          <w:p w14:paraId="1BBA1494" w14:textId="77777777" w:rsidR="00494EF1" w:rsidRPr="00494EF1" w:rsidRDefault="00494EF1" w:rsidP="00494EF1">
            <w:pPr>
              <w:spacing w:after="0" w:line="240" w:lineRule="auto"/>
              <w:jc w:val="both"/>
              <w:rPr>
                <w:color w:val="000000" w:themeColor="text1"/>
              </w:rPr>
            </w:pPr>
          </w:p>
        </w:tc>
        <w:tc>
          <w:tcPr>
            <w:tcW w:w="10489" w:type="dxa"/>
          </w:tcPr>
          <w:p w14:paraId="4CB425C4" w14:textId="77777777" w:rsidR="00494EF1" w:rsidRPr="00494EF1" w:rsidRDefault="00494EF1" w:rsidP="00494EF1">
            <w:pPr>
              <w:spacing w:after="0" w:line="240" w:lineRule="auto"/>
              <w:jc w:val="both"/>
              <w:rPr>
                <w:color w:val="000000" w:themeColor="text1"/>
              </w:rPr>
            </w:pPr>
            <w:r w:rsidRPr="00494EF1">
              <w:rPr>
                <w:color w:val="000000" w:themeColor="text1"/>
              </w:rPr>
              <w:t>Les outils d’organisation et de suivi des tâches</w:t>
            </w:r>
          </w:p>
          <w:p w14:paraId="3619AC4A" w14:textId="77777777" w:rsidR="00494EF1" w:rsidRPr="00494EF1" w:rsidRDefault="00494EF1" w:rsidP="00494EF1">
            <w:pPr>
              <w:spacing w:after="0" w:line="240" w:lineRule="auto"/>
              <w:jc w:val="both"/>
              <w:rPr>
                <w:color w:val="000000" w:themeColor="text1"/>
              </w:rPr>
            </w:pPr>
            <w:r w:rsidRPr="00494EF1">
              <w:rPr>
                <w:color w:val="000000" w:themeColor="text1"/>
              </w:rPr>
              <w:t>Les notions de mission et de tâche.</w:t>
            </w:r>
          </w:p>
          <w:p w14:paraId="11F375CB" w14:textId="77777777" w:rsidR="00494EF1" w:rsidRPr="00494EF1" w:rsidRDefault="00494EF1" w:rsidP="00494EF1">
            <w:pPr>
              <w:spacing w:after="0" w:line="240" w:lineRule="auto"/>
              <w:jc w:val="both"/>
              <w:rPr>
                <w:color w:val="000000" w:themeColor="text1"/>
              </w:rPr>
            </w:pPr>
            <w:r w:rsidRPr="00494EF1">
              <w:rPr>
                <w:color w:val="000000" w:themeColor="text1"/>
              </w:rPr>
              <w:t>Les missions de l’équipe et de chacun (missions quotidiennes, exceptionnelles) et les domaines dans lesquels elles s’exercent : commercial, gestion, entretien, maintenance, surveillance, etc.</w:t>
            </w:r>
          </w:p>
          <w:p w14:paraId="43FA973B" w14:textId="77777777" w:rsidR="00494EF1" w:rsidRPr="00494EF1" w:rsidRDefault="00494EF1" w:rsidP="00494EF1">
            <w:pPr>
              <w:spacing w:after="0" w:line="240" w:lineRule="auto"/>
              <w:jc w:val="both"/>
              <w:rPr>
                <w:color w:val="000000" w:themeColor="text1"/>
              </w:rPr>
            </w:pPr>
          </w:p>
          <w:p w14:paraId="7F888BE5" w14:textId="77777777" w:rsidR="00494EF1" w:rsidRPr="00494EF1" w:rsidRDefault="00494EF1" w:rsidP="00494EF1">
            <w:pPr>
              <w:spacing w:after="0" w:line="240" w:lineRule="auto"/>
              <w:jc w:val="both"/>
              <w:rPr>
                <w:color w:val="000000" w:themeColor="text1"/>
              </w:rPr>
            </w:pPr>
            <w:r w:rsidRPr="00494EF1">
              <w:rPr>
                <w:color w:val="000000" w:themeColor="text1"/>
              </w:rPr>
              <w:t>Le tableau de répartition des tâches</w:t>
            </w:r>
          </w:p>
          <w:p w14:paraId="346BCBC0" w14:textId="77777777" w:rsidR="00494EF1" w:rsidRPr="00494EF1" w:rsidRDefault="00494EF1" w:rsidP="00494EF1">
            <w:pPr>
              <w:spacing w:after="0" w:line="240" w:lineRule="auto"/>
              <w:jc w:val="both"/>
              <w:rPr>
                <w:color w:val="000000" w:themeColor="text1"/>
              </w:rPr>
            </w:pPr>
            <w:r w:rsidRPr="00494EF1">
              <w:rPr>
                <w:color w:val="000000" w:themeColor="text1"/>
              </w:rPr>
              <w:t>Les principes d’établissement d’un tableau de répartition des tâches</w:t>
            </w:r>
          </w:p>
          <w:p w14:paraId="26744C75" w14:textId="77777777" w:rsidR="00494EF1" w:rsidRPr="00494EF1" w:rsidRDefault="00494EF1" w:rsidP="00494EF1">
            <w:pPr>
              <w:spacing w:after="0" w:line="240" w:lineRule="auto"/>
              <w:jc w:val="both"/>
              <w:rPr>
                <w:color w:val="000000" w:themeColor="text1"/>
              </w:rPr>
            </w:pPr>
            <w:r w:rsidRPr="00494EF1">
              <w:rPr>
                <w:color w:val="000000" w:themeColor="text1"/>
              </w:rPr>
              <w:t>Le tableau de répartition des tâches et son analyse</w:t>
            </w:r>
          </w:p>
          <w:p w14:paraId="56A5F7D3"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écarts et la révision éventuellement de l’organisation du travail. </w:t>
            </w:r>
          </w:p>
          <w:p w14:paraId="382132E5" w14:textId="77777777" w:rsidR="00494EF1" w:rsidRPr="00494EF1" w:rsidRDefault="00494EF1" w:rsidP="00494EF1">
            <w:pPr>
              <w:spacing w:after="0" w:line="240" w:lineRule="auto"/>
              <w:jc w:val="both"/>
              <w:rPr>
                <w:color w:val="000000" w:themeColor="text1"/>
              </w:rPr>
            </w:pPr>
          </w:p>
          <w:p w14:paraId="6CAA3B7A" w14:textId="77777777" w:rsidR="00494EF1" w:rsidRPr="00494EF1" w:rsidRDefault="00494EF1" w:rsidP="00494EF1">
            <w:pPr>
              <w:spacing w:after="0" w:line="240" w:lineRule="auto"/>
              <w:jc w:val="both"/>
              <w:rPr>
                <w:color w:val="000000" w:themeColor="text1"/>
              </w:rPr>
            </w:pPr>
            <w:r w:rsidRPr="00494EF1">
              <w:rPr>
                <w:color w:val="000000" w:themeColor="text1"/>
              </w:rPr>
              <w:t>Les techniques d’ordonnancement des tâches</w:t>
            </w:r>
          </w:p>
          <w:p w14:paraId="59B8B1AD" w14:textId="77777777" w:rsidR="00494EF1" w:rsidRPr="00494EF1" w:rsidRDefault="00494EF1" w:rsidP="00494EF1">
            <w:pPr>
              <w:spacing w:after="0" w:line="240" w:lineRule="auto"/>
              <w:jc w:val="both"/>
              <w:rPr>
                <w:color w:val="000000" w:themeColor="text1"/>
              </w:rPr>
            </w:pPr>
            <w:r w:rsidRPr="00494EF1">
              <w:rPr>
                <w:color w:val="000000" w:themeColor="text1"/>
              </w:rPr>
              <w:t>Les principes généraux de l’ordonnancement des tâches Les principes d’établissement d’un diagramme de Gantt, d’un réseau PERT ou MPM</w:t>
            </w:r>
          </w:p>
        </w:tc>
      </w:tr>
      <w:tr w:rsidR="00494EF1" w:rsidRPr="00494EF1" w14:paraId="6F6B6124" w14:textId="77777777" w:rsidTr="00494EF1">
        <w:tc>
          <w:tcPr>
            <w:tcW w:w="4111" w:type="dxa"/>
          </w:tcPr>
          <w:p w14:paraId="18E32F7D" w14:textId="77777777" w:rsidR="00494EF1" w:rsidRPr="00494EF1" w:rsidRDefault="00494EF1" w:rsidP="00494EF1">
            <w:pPr>
              <w:spacing w:after="0" w:line="240" w:lineRule="auto"/>
              <w:jc w:val="both"/>
              <w:rPr>
                <w:color w:val="000000" w:themeColor="text1"/>
              </w:rPr>
            </w:pPr>
            <w:r w:rsidRPr="00494EF1">
              <w:rPr>
                <w:color w:val="000000" w:themeColor="text1"/>
              </w:rPr>
              <w:t>Le recrutement de l’équipe commerciale</w:t>
            </w:r>
          </w:p>
        </w:tc>
        <w:tc>
          <w:tcPr>
            <w:tcW w:w="10489" w:type="dxa"/>
          </w:tcPr>
          <w:p w14:paraId="5EA17B4A" w14:textId="77777777" w:rsidR="00494EF1" w:rsidRPr="00494EF1" w:rsidRDefault="00494EF1" w:rsidP="00494EF1">
            <w:pPr>
              <w:spacing w:after="0" w:line="240" w:lineRule="auto"/>
              <w:jc w:val="both"/>
              <w:rPr>
                <w:color w:val="000000" w:themeColor="text1"/>
              </w:rPr>
            </w:pPr>
            <w:r w:rsidRPr="00494EF1">
              <w:rPr>
                <w:color w:val="000000" w:themeColor="text1"/>
              </w:rPr>
              <w:t>Le recrutement de l’équipe commerciale</w:t>
            </w:r>
          </w:p>
          <w:p w14:paraId="7403BE84" w14:textId="77777777" w:rsidR="00494EF1" w:rsidRPr="00494EF1" w:rsidRDefault="00494EF1" w:rsidP="00494EF1">
            <w:pPr>
              <w:spacing w:after="0" w:line="240" w:lineRule="auto"/>
              <w:jc w:val="both"/>
              <w:rPr>
                <w:color w:val="000000" w:themeColor="text1"/>
              </w:rPr>
            </w:pPr>
            <w:r w:rsidRPr="00494EF1">
              <w:rPr>
                <w:color w:val="000000" w:themeColor="text1"/>
              </w:rPr>
              <w:t>L’équipe commerciale</w:t>
            </w:r>
          </w:p>
          <w:p w14:paraId="4EB0B8BA" w14:textId="77777777" w:rsidR="00494EF1" w:rsidRPr="00494EF1" w:rsidRDefault="00494EF1" w:rsidP="00494EF1">
            <w:pPr>
              <w:spacing w:after="0" w:line="240" w:lineRule="auto"/>
              <w:jc w:val="both"/>
              <w:rPr>
                <w:color w:val="000000" w:themeColor="text1"/>
              </w:rPr>
            </w:pPr>
            <w:r w:rsidRPr="00494EF1">
              <w:rPr>
                <w:color w:val="000000" w:themeColor="text1"/>
              </w:rPr>
              <w:t>La notion d’équipe commerciale : composition, profil (âge, expérience, qualification, ancienneté), organigramme.</w:t>
            </w:r>
          </w:p>
          <w:p w14:paraId="6CAB8B43" w14:textId="77777777" w:rsidR="00494EF1" w:rsidRPr="00494EF1" w:rsidRDefault="00494EF1" w:rsidP="00494EF1">
            <w:pPr>
              <w:spacing w:after="0" w:line="240" w:lineRule="auto"/>
              <w:jc w:val="both"/>
              <w:rPr>
                <w:color w:val="000000" w:themeColor="text1"/>
              </w:rPr>
            </w:pPr>
            <w:r w:rsidRPr="00494EF1">
              <w:rPr>
                <w:color w:val="000000" w:themeColor="text1"/>
              </w:rPr>
              <w:t>La typologie des emplois commerciaux (ROME) : fiche métier et/ou fiche de poste</w:t>
            </w:r>
          </w:p>
          <w:p w14:paraId="0C0A856D" w14:textId="77777777" w:rsidR="00494EF1" w:rsidRPr="00494EF1" w:rsidRDefault="00494EF1" w:rsidP="00494EF1">
            <w:pPr>
              <w:spacing w:after="0" w:line="240" w:lineRule="auto"/>
              <w:jc w:val="both"/>
              <w:rPr>
                <w:color w:val="000000" w:themeColor="text1"/>
              </w:rPr>
            </w:pPr>
            <w:r w:rsidRPr="00494EF1">
              <w:rPr>
                <w:color w:val="000000" w:themeColor="text1"/>
              </w:rPr>
              <w:t>Les enjeux pour le point de vente (pérennité, réponse à la concurrence, évolution des compétences) et le coût d’une opération de recrutement pour le manageur (temps consacré, recours à des prestataires, coût du turn-over).</w:t>
            </w:r>
          </w:p>
          <w:p w14:paraId="0AAD5249" w14:textId="77777777" w:rsidR="00494EF1" w:rsidRPr="00494EF1" w:rsidRDefault="00494EF1" w:rsidP="00494EF1">
            <w:pPr>
              <w:spacing w:after="0" w:line="240" w:lineRule="auto"/>
              <w:jc w:val="both"/>
              <w:rPr>
                <w:color w:val="000000" w:themeColor="text1"/>
              </w:rPr>
            </w:pPr>
          </w:p>
          <w:p w14:paraId="363A6A06" w14:textId="77777777" w:rsidR="00494EF1" w:rsidRPr="00494EF1" w:rsidRDefault="00494EF1" w:rsidP="00494EF1">
            <w:pPr>
              <w:spacing w:after="0" w:line="240" w:lineRule="auto"/>
              <w:jc w:val="both"/>
              <w:rPr>
                <w:color w:val="000000" w:themeColor="text1"/>
              </w:rPr>
            </w:pPr>
            <w:r w:rsidRPr="00494EF1">
              <w:rPr>
                <w:color w:val="000000" w:themeColor="text1"/>
              </w:rPr>
              <w:t>Le diagnostic des besoins en recrutement</w:t>
            </w:r>
          </w:p>
          <w:p w14:paraId="7A024829" w14:textId="77777777" w:rsidR="00494EF1" w:rsidRPr="00494EF1" w:rsidRDefault="00494EF1" w:rsidP="00494EF1">
            <w:pPr>
              <w:spacing w:after="0" w:line="240" w:lineRule="auto"/>
              <w:jc w:val="both"/>
              <w:rPr>
                <w:color w:val="000000" w:themeColor="text1"/>
              </w:rPr>
            </w:pPr>
            <w:r w:rsidRPr="00494EF1">
              <w:rPr>
                <w:color w:val="000000" w:themeColor="text1"/>
              </w:rPr>
              <w:t>Les différentes méthodes et les indicateurs du diagnostic d’une équipe commerciale :</w:t>
            </w:r>
          </w:p>
          <w:p w14:paraId="449740E2" w14:textId="77777777" w:rsidR="00494EF1" w:rsidRPr="00494EF1" w:rsidRDefault="00494EF1" w:rsidP="00494EF1">
            <w:pPr>
              <w:pBdr>
                <w:top w:val="nil"/>
                <w:left w:val="nil"/>
                <w:bottom w:val="nil"/>
                <w:right w:val="nil"/>
                <w:between w:val="nil"/>
              </w:pBdr>
              <w:spacing w:after="0" w:line="240" w:lineRule="auto"/>
              <w:jc w:val="both"/>
              <w:rPr>
                <w:color w:val="000000" w:themeColor="text1"/>
              </w:rPr>
            </w:pPr>
            <w:r w:rsidRPr="00494EF1">
              <w:rPr>
                <w:color w:val="000000" w:themeColor="text1"/>
              </w:rPr>
              <w:t>Indicateurs quantitatifs : analyse des ventes, pyramide des âges, taux de rotation du personnel.</w:t>
            </w:r>
          </w:p>
          <w:p w14:paraId="79A0FED5" w14:textId="77777777" w:rsidR="00494EF1" w:rsidRPr="00494EF1" w:rsidRDefault="00494EF1" w:rsidP="00494EF1">
            <w:pPr>
              <w:pBdr>
                <w:top w:val="nil"/>
                <w:left w:val="nil"/>
                <w:bottom w:val="nil"/>
                <w:right w:val="nil"/>
                <w:between w:val="nil"/>
              </w:pBdr>
              <w:spacing w:after="0" w:line="240" w:lineRule="auto"/>
              <w:jc w:val="both"/>
              <w:rPr>
                <w:color w:val="000000" w:themeColor="text1"/>
              </w:rPr>
            </w:pPr>
            <w:r w:rsidRPr="00494EF1">
              <w:rPr>
                <w:color w:val="000000" w:themeColor="text1"/>
              </w:rPr>
              <w:t>Indicateurs qualitatifs : caractéristiques des missions à réaliser (Définition de fonction).</w:t>
            </w:r>
          </w:p>
          <w:p w14:paraId="305D1E53" w14:textId="77777777" w:rsidR="00494EF1" w:rsidRPr="00494EF1" w:rsidRDefault="00494EF1" w:rsidP="00494EF1">
            <w:pPr>
              <w:spacing w:after="0" w:line="240" w:lineRule="auto"/>
              <w:jc w:val="both"/>
              <w:rPr>
                <w:color w:val="000000" w:themeColor="text1"/>
              </w:rPr>
            </w:pPr>
          </w:p>
          <w:p w14:paraId="7F61342F" w14:textId="77777777" w:rsidR="00494EF1" w:rsidRPr="00494EF1" w:rsidRDefault="00494EF1" w:rsidP="00494EF1">
            <w:pPr>
              <w:spacing w:after="0" w:line="240" w:lineRule="auto"/>
              <w:jc w:val="both"/>
              <w:rPr>
                <w:color w:val="000000" w:themeColor="text1"/>
              </w:rPr>
            </w:pPr>
          </w:p>
          <w:p w14:paraId="4F1BEDB4" w14:textId="77777777" w:rsidR="00494EF1" w:rsidRPr="00494EF1" w:rsidRDefault="00494EF1" w:rsidP="00494EF1">
            <w:pPr>
              <w:spacing w:after="0" w:line="240" w:lineRule="auto"/>
              <w:jc w:val="both"/>
              <w:rPr>
                <w:color w:val="000000" w:themeColor="text1"/>
              </w:rPr>
            </w:pPr>
            <w:r w:rsidRPr="00494EF1">
              <w:rPr>
                <w:color w:val="000000" w:themeColor="text1"/>
              </w:rPr>
              <w:t>Le profil de poste</w:t>
            </w:r>
          </w:p>
          <w:p w14:paraId="7D7AEB54" w14:textId="77777777" w:rsidR="00494EF1" w:rsidRPr="00494EF1" w:rsidRDefault="00494EF1" w:rsidP="00494EF1">
            <w:pPr>
              <w:spacing w:after="0" w:line="240" w:lineRule="auto"/>
              <w:jc w:val="both"/>
              <w:rPr>
                <w:color w:val="000000" w:themeColor="text1"/>
              </w:rPr>
            </w:pPr>
            <w:r w:rsidRPr="00494EF1">
              <w:rPr>
                <w:color w:val="000000" w:themeColor="text1"/>
              </w:rPr>
              <w:t>La définition de fonction (contenu du poste à pourvoir)</w:t>
            </w:r>
          </w:p>
          <w:p w14:paraId="6FA2E6A8" w14:textId="77777777" w:rsidR="00494EF1" w:rsidRPr="00494EF1" w:rsidRDefault="00494EF1" w:rsidP="00494EF1">
            <w:pPr>
              <w:spacing w:after="0" w:line="240" w:lineRule="auto"/>
              <w:jc w:val="both"/>
              <w:rPr>
                <w:color w:val="000000" w:themeColor="text1"/>
              </w:rPr>
            </w:pPr>
            <w:r w:rsidRPr="00494EF1">
              <w:rPr>
                <w:color w:val="000000" w:themeColor="text1"/>
              </w:rPr>
              <w:t>Le profil du candidat (qualités attendues) dans son contexte professionnel</w:t>
            </w:r>
          </w:p>
          <w:p w14:paraId="57779FA9" w14:textId="77777777" w:rsidR="00494EF1" w:rsidRPr="00494EF1" w:rsidRDefault="00494EF1" w:rsidP="00494EF1">
            <w:pPr>
              <w:spacing w:after="0" w:line="240" w:lineRule="auto"/>
              <w:jc w:val="both"/>
              <w:rPr>
                <w:color w:val="000000" w:themeColor="text1"/>
              </w:rPr>
            </w:pPr>
          </w:p>
          <w:p w14:paraId="2334EE23" w14:textId="77777777" w:rsidR="00494EF1" w:rsidRPr="00494EF1" w:rsidRDefault="00494EF1" w:rsidP="00494EF1">
            <w:pPr>
              <w:spacing w:after="0" w:line="240" w:lineRule="auto"/>
              <w:jc w:val="both"/>
              <w:rPr>
                <w:color w:val="000000" w:themeColor="text1"/>
              </w:rPr>
            </w:pPr>
            <w:r w:rsidRPr="00494EF1">
              <w:rPr>
                <w:color w:val="000000" w:themeColor="text1"/>
              </w:rPr>
              <w:t>Les modes de recrutement</w:t>
            </w:r>
          </w:p>
          <w:p w14:paraId="40A08317" w14:textId="77777777" w:rsidR="00494EF1" w:rsidRPr="00494EF1" w:rsidRDefault="00494EF1" w:rsidP="00494EF1">
            <w:pPr>
              <w:spacing w:after="0" w:line="240" w:lineRule="auto"/>
              <w:jc w:val="both"/>
              <w:rPr>
                <w:color w:val="000000" w:themeColor="text1"/>
              </w:rPr>
            </w:pPr>
            <w:r w:rsidRPr="00494EF1">
              <w:rPr>
                <w:color w:val="000000" w:themeColor="text1"/>
              </w:rPr>
              <w:t>Recrutement délégué ou recrutement par l’unité commerciale (local ou réseau).</w:t>
            </w:r>
          </w:p>
          <w:p w14:paraId="68D1E30B" w14:textId="77777777" w:rsidR="00494EF1" w:rsidRPr="00494EF1" w:rsidRDefault="00494EF1" w:rsidP="00494EF1">
            <w:pPr>
              <w:spacing w:after="0" w:line="240" w:lineRule="auto"/>
              <w:jc w:val="both"/>
              <w:rPr>
                <w:color w:val="000000" w:themeColor="text1"/>
              </w:rPr>
            </w:pPr>
            <w:r w:rsidRPr="00494EF1">
              <w:rPr>
                <w:color w:val="000000" w:themeColor="text1"/>
              </w:rPr>
              <w:t>Les candidatures internes et externes</w:t>
            </w:r>
          </w:p>
          <w:p w14:paraId="57000718" w14:textId="77777777" w:rsidR="00494EF1" w:rsidRPr="00494EF1" w:rsidRDefault="00494EF1" w:rsidP="00494EF1">
            <w:pPr>
              <w:spacing w:after="0" w:line="240" w:lineRule="auto"/>
              <w:jc w:val="both"/>
              <w:rPr>
                <w:color w:val="000000" w:themeColor="text1"/>
              </w:rPr>
            </w:pPr>
            <w:r w:rsidRPr="00494EF1">
              <w:rPr>
                <w:color w:val="000000" w:themeColor="text1"/>
              </w:rPr>
              <w:t>Les principes, les avantages et les limites respectifs des différents modes de recrutement et des sources de candidatures (interne/externe)</w:t>
            </w:r>
          </w:p>
          <w:p w14:paraId="371D055A" w14:textId="77777777" w:rsidR="00494EF1" w:rsidRPr="00494EF1" w:rsidRDefault="00494EF1" w:rsidP="00494EF1">
            <w:pPr>
              <w:spacing w:after="0" w:line="240" w:lineRule="auto"/>
              <w:jc w:val="both"/>
              <w:rPr>
                <w:color w:val="000000" w:themeColor="text1"/>
              </w:rPr>
            </w:pPr>
            <w:r w:rsidRPr="00494EF1">
              <w:rPr>
                <w:color w:val="000000" w:themeColor="text1"/>
              </w:rPr>
              <w:t>Le coût des différents modes de recrutement</w:t>
            </w:r>
          </w:p>
          <w:p w14:paraId="6F631B2B"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 rapport coût/avantages </w:t>
            </w:r>
          </w:p>
          <w:p w14:paraId="481639C8" w14:textId="77777777" w:rsidR="00494EF1" w:rsidRPr="00494EF1" w:rsidRDefault="00494EF1" w:rsidP="00494EF1">
            <w:pPr>
              <w:spacing w:after="0" w:line="240" w:lineRule="auto"/>
              <w:jc w:val="both"/>
              <w:rPr>
                <w:color w:val="000000" w:themeColor="text1"/>
              </w:rPr>
            </w:pPr>
          </w:p>
          <w:p w14:paraId="17B37C8F" w14:textId="77777777" w:rsidR="00494EF1" w:rsidRPr="00494EF1" w:rsidRDefault="00494EF1" w:rsidP="00494EF1">
            <w:pPr>
              <w:spacing w:after="0" w:line="240" w:lineRule="auto"/>
              <w:jc w:val="both"/>
              <w:rPr>
                <w:color w:val="000000" w:themeColor="text1"/>
              </w:rPr>
            </w:pPr>
            <w:r w:rsidRPr="00494EF1">
              <w:rPr>
                <w:color w:val="000000" w:themeColor="text1"/>
              </w:rPr>
              <w:t>Les étapes du recrutement</w:t>
            </w:r>
          </w:p>
          <w:p w14:paraId="5BBE37B0"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 xml:space="preserve">Les modalités du recrutement : les besoins en recrutement, la recherche, la sélection et l’intégration des candidats </w:t>
            </w:r>
          </w:p>
          <w:p w14:paraId="2B6B4E8E" w14:textId="77777777" w:rsidR="00494EF1" w:rsidRPr="00494EF1" w:rsidRDefault="00494EF1" w:rsidP="00494EF1">
            <w:pPr>
              <w:spacing w:after="0" w:line="240" w:lineRule="auto"/>
              <w:jc w:val="both"/>
              <w:rPr>
                <w:color w:val="000000" w:themeColor="text1"/>
              </w:rPr>
            </w:pPr>
          </w:p>
          <w:p w14:paraId="4EB15B7A" w14:textId="77777777" w:rsidR="00494EF1" w:rsidRPr="00494EF1" w:rsidRDefault="00494EF1" w:rsidP="00494EF1">
            <w:pPr>
              <w:spacing w:after="0" w:line="240" w:lineRule="auto"/>
              <w:jc w:val="both"/>
              <w:rPr>
                <w:color w:val="000000" w:themeColor="text1"/>
              </w:rPr>
            </w:pPr>
            <w:r w:rsidRPr="00494EF1">
              <w:rPr>
                <w:color w:val="000000" w:themeColor="text1"/>
              </w:rPr>
              <w:t>Les outils du recrutement</w:t>
            </w:r>
          </w:p>
          <w:p w14:paraId="050F3283" w14:textId="77777777" w:rsidR="00494EF1" w:rsidRPr="00494EF1" w:rsidRDefault="00494EF1" w:rsidP="00494EF1">
            <w:pPr>
              <w:spacing w:after="0" w:line="240" w:lineRule="auto"/>
              <w:jc w:val="both"/>
              <w:rPr>
                <w:color w:val="000000" w:themeColor="text1"/>
              </w:rPr>
            </w:pPr>
            <w:r w:rsidRPr="00494EF1">
              <w:rPr>
                <w:color w:val="000000" w:themeColor="text1"/>
              </w:rPr>
              <w:t>L’offre d’emploi et son canal de diffusion (presse, Internet, Intranet)</w:t>
            </w:r>
          </w:p>
          <w:p w14:paraId="3311813D" w14:textId="77777777" w:rsidR="00494EF1" w:rsidRPr="00494EF1" w:rsidRDefault="00494EF1" w:rsidP="00494EF1">
            <w:pPr>
              <w:spacing w:after="0" w:line="240" w:lineRule="auto"/>
              <w:jc w:val="both"/>
              <w:rPr>
                <w:color w:val="000000" w:themeColor="text1"/>
              </w:rPr>
            </w:pPr>
            <w:r w:rsidRPr="00494EF1">
              <w:rPr>
                <w:color w:val="000000" w:themeColor="text1"/>
              </w:rPr>
              <w:t>Les grilles d’analyse des CV et Lettre de motivation</w:t>
            </w:r>
          </w:p>
          <w:p w14:paraId="4197DD19" w14:textId="77777777" w:rsidR="00494EF1" w:rsidRPr="00494EF1" w:rsidRDefault="00494EF1" w:rsidP="00494EF1">
            <w:pPr>
              <w:spacing w:after="0" w:line="240" w:lineRule="auto"/>
              <w:jc w:val="both"/>
              <w:rPr>
                <w:color w:val="000000" w:themeColor="text1"/>
              </w:rPr>
            </w:pPr>
            <w:r w:rsidRPr="00494EF1">
              <w:rPr>
                <w:color w:val="000000" w:themeColor="text1"/>
              </w:rPr>
              <w:t>Le guide d’entretien (collectif et individuel)</w:t>
            </w:r>
          </w:p>
          <w:p w14:paraId="7A09DD0C" w14:textId="77777777" w:rsidR="00494EF1" w:rsidRPr="00494EF1" w:rsidRDefault="00494EF1" w:rsidP="00494EF1">
            <w:pPr>
              <w:spacing w:after="0" w:line="240" w:lineRule="auto"/>
              <w:jc w:val="both"/>
              <w:rPr>
                <w:color w:val="000000" w:themeColor="text1"/>
              </w:rPr>
            </w:pPr>
          </w:p>
          <w:p w14:paraId="677214CF" w14:textId="77777777" w:rsidR="00494EF1" w:rsidRPr="00494EF1" w:rsidRDefault="00494EF1" w:rsidP="00494EF1">
            <w:pPr>
              <w:spacing w:after="0" w:line="240" w:lineRule="auto"/>
              <w:jc w:val="both"/>
              <w:rPr>
                <w:color w:val="000000" w:themeColor="text1"/>
              </w:rPr>
            </w:pPr>
            <w:r w:rsidRPr="00494EF1">
              <w:rPr>
                <w:color w:val="000000" w:themeColor="text1"/>
              </w:rPr>
              <w:t>Les principes d’intégration des nouveaux collaborateurs</w:t>
            </w:r>
          </w:p>
          <w:p w14:paraId="1E95485B" w14:textId="77777777" w:rsidR="00494EF1" w:rsidRPr="00494EF1" w:rsidRDefault="00494EF1" w:rsidP="00494EF1">
            <w:pPr>
              <w:spacing w:after="0" w:line="240" w:lineRule="auto"/>
              <w:jc w:val="both"/>
              <w:rPr>
                <w:color w:val="000000" w:themeColor="text1"/>
              </w:rPr>
            </w:pPr>
            <w:r w:rsidRPr="00494EF1">
              <w:rPr>
                <w:color w:val="000000" w:themeColor="text1"/>
              </w:rPr>
              <w:t>Les conditions d’une intégration réussie</w:t>
            </w:r>
          </w:p>
          <w:p w14:paraId="600587E6" w14:textId="77777777" w:rsidR="00494EF1" w:rsidRPr="00494EF1" w:rsidRDefault="00494EF1" w:rsidP="00494EF1">
            <w:pPr>
              <w:spacing w:after="0" w:line="240" w:lineRule="auto"/>
              <w:jc w:val="both"/>
              <w:rPr>
                <w:color w:val="000000" w:themeColor="text1"/>
              </w:rPr>
            </w:pPr>
            <w:r w:rsidRPr="00494EF1">
              <w:rPr>
                <w:color w:val="000000" w:themeColor="text1"/>
              </w:rPr>
              <w:t>Les outils d’intégration (parcours/plan d’intégration, livret d’accueil, tutorat, parcours de formation et d’adaptation au poste, accompagnement, suivi etc.)</w:t>
            </w:r>
          </w:p>
          <w:p w14:paraId="4F3B6F46" w14:textId="77777777" w:rsidR="00494EF1" w:rsidRPr="00494EF1" w:rsidRDefault="00494EF1" w:rsidP="00494EF1">
            <w:pPr>
              <w:spacing w:after="0" w:line="240" w:lineRule="auto"/>
              <w:jc w:val="both"/>
              <w:rPr>
                <w:color w:val="000000" w:themeColor="text1"/>
              </w:rPr>
            </w:pPr>
          </w:p>
          <w:p w14:paraId="3628BFC6" w14:textId="77777777" w:rsidR="00494EF1" w:rsidRPr="00494EF1" w:rsidRDefault="00494EF1" w:rsidP="00494EF1">
            <w:pPr>
              <w:spacing w:after="0" w:line="240" w:lineRule="auto"/>
              <w:jc w:val="both"/>
              <w:rPr>
                <w:color w:val="000000" w:themeColor="text1"/>
              </w:rPr>
            </w:pPr>
            <w:r w:rsidRPr="00494EF1">
              <w:rPr>
                <w:color w:val="000000" w:themeColor="text1"/>
              </w:rPr>
              <w:t>L</w:t>
            </w:r>
            <w:r w:rsidRPr="00E02192">
              <w:rPr>
                <w:rFonts w:cs="Calibri"/>
                <w:i/>
                <w:color w:val="D60093"/>
              </w:rPr>
              <w:t>es contraintes légales et réglementaires en matière de recrutement</w:t>
            </w:r>
          </w:p>
          <w:p w14:paraId="5451E59F" w14:textId="7DD48E0A" w:rsidR="00494EF1" w:rsidRPr="00E02192" w:rsidRDefault="00494EF1" w:rsidP="00494EF1">
            <w:pPr>
              <w:spacing w:after="0" w:line="240" w:lineRule="auto"/>
              <w:jc w:val="both"/>
              <w:rPr>
                <w:rFonts w:cs="Calibri"/>
                <w:i/>
                <w:color w:val="D60093"/>
              </w:rPr>
            </w:pPr>
            <w:r w:rsidRPr="00E02192">
              <w:rPr>
                <w:rFonts w:cs="Calibri"/>
                <w:i/>
                <w:color w:val="D60093"/>
              </w:rPr>
              <w:t>La non-discrimination à l’embauche, l’égalité homme/femme, le questionnaire d’embauche, la tenue du registre unique du personnel</w:t>
            </w:r>
            <w:r w:rsidR="00475B0C">
              <w:rPr>
                <w:rFonts w:cs="Calibri"/>
                <w:i/>
                <w:color w:val="D60093"/>
              </w:rPr>
              <w:t xml:space="preserve"> (RGPD)</w:t>
            </w:r>
            <w:r w:rsidRPr="00E02192">
              <w:rPr>
                <w:rFonts w:cs="Calibri"/>
                <w:i/>
                <w:color w:val="D60093"/>
              </w:rPr>
              <w:t>, l’obligation de la visite médicale d’embauche, etc.</w:t>
            </w:r>
          </w:p>
          <w:p w14:paraId="64E2E4AB" w14:textId="77777777" w:rsidR="00494EF1" w:rsidRPr="00494EF1" w:rsidRDefault="00494EF1" w:rsidP="00494EF1">
            <w:pPr>
              <w:spacing w:after="0" w:line="240" w:lineRule="auto"/>
              <w:jc w:val="both"/>
              <w:rPr>
                <w:color w:val="000000" w:themeColor="text1"/>
              </w:rPr>
            </w:pPr>
          </w:p>
        </w:tc>
      </w:tr>
      <w:tr w:rsidR="00494EF1" w:rsidRPr="00494EF1" w14:paraId="67783B6B" w14:textId="77777777" w:rsidTr="00494EF1">
        <w:tc>
          <w:tcPr>
            <w:tcW w:w="4111" w:type="dxa"/>
          </w:tcPr>
          <w:p w14:paraId="057A86EF" w14:textId="77777777" w:rsidR="00494EF1" w:rsidRPr="009F4711" w:rsidRDefault="00494EF1" w:rsidP="00494EF1">
            <w:pPr>
              <w:spacing w:after="0" w:line="240" w:lineRule="auto"/>
              <w:jc w:val="both"/>
              <w:rPr>
                <w:color w:val="000000" w:themeColor="text1"/>
              </w:rPr>
            </w:pPr>
            <w:r w:rsidRPr="009F4711">
              <w:rPr>
                <w:color w:val="000000" w:themeColor="text1"/>
              </w:rPr>
              <w:lastRenderedPageBreak/>
              <w:t>Les contrats de travail</w:t>
            </w:r>
          </w:p>
          <w:p w14:paraId="4897452F" w14:textId="77777777" w:rsidR="00494EF1" w:rsidRPr="00494EF1" w:rsidRDefault="00494EF1" w:rsidP="00494EF1">
            <w:pPr>
              <w:spacing w:after="0" w:line="240" w:lineRule="auto"/>
              <w:jc w:val="both"/>
              <w:rPr>
                <w:color w:val="000000" w:themeColor="text1"/>
              </w:rPr>
            </w:pPr>
          </w:p>
        </w:tc>
        <w:tc>
          <w:tcPr>
            <w:tcW w:w="10489" w:type="dxa"/>
          </w:tcPr>
          <w:p w14:paraId="6E45E50D" w14:textId="77777777" w:rsidR="00494EF1" w:rsidRPr="00494EF1" w:rsidRDefault="00494EF1" w:rsidP="00494EF1">
            <w:pPr>
              <w:spacing w:after="0" w:line="240" w:lineRule="auto"/>
              <w:jc w:val="both"/>
              <w:rPr>
                <w:color w:val="000000" w:themeColor="text1"/>
              </w:rPr>
            </w:pPr>
            <w:r w:rsidRPr="00E02192">
              <w:rPr>
                <w:rFonts w:cs="Calibri"/>
                <w:i/>
                <w:color w:val="D60093"/>
              </w:rPr>
              <w:t>Les différents contrats de travail ;</w:t>
            </w:r>
            <w:r w:rsidRPr="00494EF1">
              <w:rPr>
                <w:color w:val="000000" w:themeColor="text1"/>
              </w:rPr>
              <w:t xml:space="preserve"> leurs caractéristiques, leurs avantages et leurs limites </w:t>
            </w:r>
          </w:p>
          <w:p w14:paraId="0A7120C8" w14:textId="77777777" w:rsidR="00494EF1" w:rsidRPr="00494EF1" w:rsidRDefault="00494EF1" w:rsidP="00494EF1">
            <w:pPr>
              <w:spacing w:after="0" w:line="240" w:lineRule="auto"/>
              <w:jc w:val="both"/>
              <w:rPr>
                <w:color w:val="000000" w:themeColor="text1"/>
              </w:rPr>
            </w:pPr>
          </w:p>
          <w:p w14:paraId="31035247" w14:textId="77777777" w:rsidR="00494EF1" w:rsidRPr="00494EF1" w:rsidRDefault="00494EF1" w:rsidP="00494EF1">
            <w:pPr>
              <w:spacing w:after="0" w:line="240" w:lineRule="auto"/>
              <w:jc w:val="both"/>
              <w:rPr>
                <w:color w:val="000000" w:themeColor="text1"/>
              </w:rPr>
            </w:pPr>
            <w:r w:rsidRPr="00494EF1">
              <w:rPr>
                <w:color w:val="000000" w:themeColor="text1"/>
              </w:rPr>
              <w:t>Les critères de choix d’un contrat de travail dans un contexte d’activité donné (Durée, coût, flexibilité, activité de l’unité commerciale etc.)</w:t>
            </w:r>
          </w:p>
        </w:tc>
      </w:tr>
      <w:tr w:rsidR="00494EF1" w:rsidRPr="00494EF1" w14:paraId="112F7AA2" w14:textId="77777777" w:rsidTr="00494EF1">
        <w:tc>
          <w:tcPr>
            <w:tcW w:w="4111" w:type="dxa"/>
          </w:tcPr>
          <w:p w14:paraId="0A8C589B" w14:textId="77777777" w:rsidR="00494EF1" w:rsidRPr="00494EF1" w:rsidRDefault="00494EF1" w:rsidP="00494EF1">
            <w:pPr>
              <w:spacing w:after="0" w:line="240" w:lineRule="auto"/>
              <w:jc w:val="both"/>
              <w:rPr>
                <w:color w:val="000000" w:themeColor="text1"/>
              </w:rPr>
            </w:pPr>
            <w:r w:rsidRPr="00494EF1">
              <w:rPr>
                <w:color w:val="000000" w:themeColor="text1"/>
              </w:rPr>
              <w:t>La communication managériale</w:t>
            </w:r>
          </w:p>
        </w:tc>
        <w:tc>
          <w:tcPr>
            <w:tcW w:w="10489" w:type="dxa"/>
          </w:tcPr>
          <w:p w14:paraId="452FF8E4" w14:textId="77777777" w:rsidR="00494EF1" w:rsidRPr="00494EF1" w:rsidRDefault="00494EF1" w:rsidP="00494EF1">
            <w:pPr>
              <w:spacing w:after="0" w:line="240" w:lineRule="auto"/>
              <w:jc w:val="both"/>
              <w:rPr>
                <w:color w:val="000000" w:themeColor="text1"/>
              </w:rPr>
            </w:pPr>
            <w:r w:rsidRPr="00494EF1">
              <w:rPr>
                <w:color w:val="000000" w:themeColor="text1"/>
              </w:rPr>
              <w:t>Les spécificités, les fonctions et les outils de la communication managériale.</w:t>
            </w:r>
          </w:p>
          <w:p w14:paraId="5C6C20B6" w14:textId="77777777" w:rsidR="00494EF1" w:rsidRPr="00494EF1" w:rsidRDefault="00494EF1" w:rsidP="00494EF1">
            <w:pPr>
              <w:spacing w:after="0" w:line="240" w:lineRule="auto"/>
              <w:jc w:val="both"/>
              <w:rPr>
                <w:color w:val="000000" w:themeColor="text1"/>
              </w:rPr>
            </w:pPr>
          </w:p>
          <w:p w14:paraId="3B2FD6CF" w14:textId="77777777" w:rsidR="00494EF1" w:rsidRPr="00494EF1" w:rsidRDefault="00494EF1" w:rsidP="00494EF1">
            <w:pPr>
              <w:spacing w:after="0" w:line="240" w:lineRule="auto"/>
              <w:jc w:val="both"/>
              <w:rPr>
                <w:color w:val="000000" w:themeColor="text1"/>
              </w:rPr>
            </w:pPr>
            <w:r w:rsidRPr="00494EF1">
              <w:rPr>
                <w:color w:val="000000" w:themeColor="text1"/>
              </w:rPr>
              <w:t>Les principes de conduite d’une réunion</w:t>
            </w:r>
          </w:p>
          <w:p w14:paraId="3550A43B" w14:textId="77777777" w:rsidR="00494EF1" w:rsidRPr="00494EF1" w:rsidRDefault="00494EF1" w:rsidP="00494EF1">
            <w:pPr>
              <w:spacing w:after="0" w:line="240" w:lineRule="auto"/>
              <w:jc w:val="both"/>
              <w:rPr>
                <w:color w:val="000000" w:themeColor="text1"/>
              </w:rPr>
            </w:pPr>
            <w:r w:rsidRPr="00494EF1">
              <w:rPr>
                <w:color w:val="000000" w:themeColor="text1"/>
              </w:rPr>
              <w:t>La préparation, l’animation et le suivi d’une réunion : les étapes de réalisation, méthodologie d’organisation les techniques …</w:t>
            </w:r>
          </w:p>
          <w:p w14:paraId="71B94DE3" w14:textId="77777777" w:rsidR="00494EF1" w:rsidRPr="00494EF1" w:rsidRDefault="00494EF1" w:rsidP="00494EF1">
            <w:pPr>
              <w:spacing w:after="0" w:line="240" w:lineRule="auto"/>
              <w:jc w:val="both"/>
              <w:rPr>
                <w:color w:val="000000" w:themeColor="text1"/>
              </w:rPr>
            </w:pPr>
            <w:r w:rsidRPr="00494EF1">
              <w:rPr>
                <w:color w:val="000000" w:themeColor="text1"/>
              </w:rPr>
              <w:t>Les outils de conduite d’une réunion</w:t>
            </w:r>
          </w:p>
          <w:p w14:paraId="6CEDF13A"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outils de </w:t>
            </w:r>
            <w:proofErr w:type="spellStart"/>
            <w:r w:rsidRPr="00494EF1">
              <w:rPr>
                <w:color w:val="000000" w:themeColor="text1"/>
              </w:rPr>
              <w:t>reporting</w:t>
            </w:r>
            <w:proofErr w:type="spellEnd"/>
            <w:r w:rsidRPr="00494EF1">
              <w:rPr>
                <w:color w:val="000000" w:themeColor="text1"/>
              </w:rPr>
              <w:t xml:space="preserve"> : tableau de bord, compte-rendu d’activité </w:t>
            </w:r>
            <w:proofErr w:type="spellStart"/>
            <w:r w:rsidRPr="00494EF1">
              <w:rPr>
                <w:color w:val="000000" w:themeColor="text1"/>
              </w:rPr>
              <w:t>ect</w:t>
            </w:r>
            <w:proofErr w:type="spellEnd"/>
            <w:r w:rsidRPr="00494EF1">
              <w:rPr>
                <w:color w:val="000000" w:themeColor="text1"/>
              </w:rPr>
              <w:t>.</w:t>
            </w:r>
          </w:p>
          <w:p w14:paraId="7F4C3055" w14:textId="77777777" w:rsidR="00494EF1" w:rsidRPr="00494EF1" w:rsidRDefault="00494EF1" w:rsidP="00494EF1">
            <w:pPr>
              <w:spacing w:after="0" w:line="240" w:lineRule="auto"/>
              <w:jc w:val="both"/>
              <w:rPr>
                <w:color w:val="000000" w:themeColor="text1"/>
              </w:rPr>
            </w:pPr>
          </w:p>
          <w:p w14:paraId="28E72D3C" w14:textId="77777777" w:rsidR="00494EF1" w:rsidRPr="00494EF1" w:rsidRDefault="00494EF1" w:rsidP="00494EF1">
            <w:pPr>
              <w:spacing w:after="0" w:line="240" w:lineRule="auto"/>
              <w:jc w:val="both"/>
              <w:rPr>
                <w:color w:val="000000" w:themeColor="text1"/>
              </w:rPr>
            </w:pPr>
            <w:r w:rsidRPr="00494EF1">
              <w:rPr>
                <w:color w:val="000000" w:themeColor="text1"/>
              </w:rPr>
              <w:t>Les modalités de diffusion de l’information</w:t>
            </w:r>
          </w:p>
          <w:p w14:paraId="47BF101E" w14:textId="77777777" w:rsidR="00494EF1" w:rsidRPr="00494EF1" w:rsidRDefault="00494EF1" w:rsidP="00494EF1">
            <w:pPr>
              <w:spacing w:after="0" w:line="240" w:lineRule="auto"/>
              <w:jc w:val="both"/>
              <w:rPr>
                <w:color w:val="000000" w:themeColor="text1"/>
              </w:rPr>
            </w:pPr>
            <w:r w:rsidRPr="00494EF1">
              <w:rPr>
                <w:color w:val="000000" w:themeColor="text1"/>
              </w:rPr>
              <w:t>La classification de l’information et la cible visée</w:t>
            </w:r>
          </w:p>
          <w:p w14:paraId="07DA2705" w14:textId="77777777" w:rsidR="00494EF1" w:rsidRPr="00494EF1" w:rsidRDefault="00494EF1" w:rsidP="00494EF1">
            <w:pPr>
              <w:spacing w:after="0" w:line="240" w:lineRule="auto"/>
              <w:jc w:val="both"/>
              <w:rPr>
                <w:color w:val="000000" w:themeColor="text1"/>
              </w:rPr>
            </w:pPr>
            <w:r w:rsidRPr="00494EF1">
              <w:rPr>
                <w:color w:val="000000" w:themeColor="text1"/>
              </w:rPr>
              <w:t>Les supports de diffusion</w:t>
            </w:r>
          </w:p>
          <w:p w14:paraId="57178F4E" w14:textId="77777777" w:rsidR="00494EF1" w:rsidRPr="00494EF1" w:rsidRDefault="00494EF1" w:rsidP="00494EF1">
            <w:pPr>
              <w:spacing w:after="0" w:line="240" w:lineRule="auto"/>
              <w:jc w:val="both"/>
              <w:rPr>
                <w:color w:val="000000" w:themeColor="text1"/>
              </w:rPr>
            </w:pPr>
            <w:r w:rsidRPr="00494EF1">
              <w:rPr>
                <w:color w:val="000000" w:themeColor="text1"/>
              </w:rPr>
              <w:t>Le travail collaboratif, partagé</w:t>
            </w:r>
          </w:p>
          <w:p w14:paraId="3DE18EC9" w14:textId="77777777" w:rsidR="00494EF1" w:rsidRPr="00494EF1" w:rsidRDefault="00494EF1" w:rsidP="00494EF1">
            <w:pPr>
              <w:spacing w:after="0" w:line="240" w:lineRule="auto"/>
              <w:jc w:val="both"/>
              <w:rPr>
                <w:color w:val="000000" w:themeColor="text1"/>
              </w:rPr>
            </w:pPr>
          </w:p>
        </w:tc>
      </w:tr>
      <w:tr w:rsidR="00494EF1" w:rsidRPr="00494EF1" w14:paraId="79FEDF5E" w14:textId="77777777" w:rsidTr="00494EF1">
        <w:tc>
          <w:tcPr>
            <w:tcW w:w="4111" w:type="dxa"/>
          </w:tcPr>
          <w:p w14:paraId="65804282"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techniques de conduite d’’évaluation et d’entretiens professionnels </w:t>
            </w:r>
          </w:p>
          <w:p w14:paraId="04847522" w14:textId="77777777" w:rsidR="00494EF1" w:rsidRPr="00494EF1" w:rsidRDefault="00494EF1" w:rsidP="00494EF1">
            <w:pPr>
              <w:spacing w:after="0" w:line="240" w:lineRule="auto"/>
              <w:jc w:val="both"/>
              <w:rPr>
                <w:color w:val="000000" w:themeColor="text1"/>
              </w:rPr>
            </w:pPr>
          </w:p>
        </w:tc>
        <w:tc>
          <w:tcPr>
            <w:tcW w:w="10489" w:type="dxa"/>
          </w:tcPr>
          <w:p w14:paraId="688E4F26" w14:textId="77777777" w:rsidR="00494EF1" w:rsidRPr="00494EF1" w:rsidRDefault="00494EF1" w:rsidP="00494EF1">
            <w:pPr>
              <w:spacing w:after="0" w:line="240" w:lineRule="auto"/>
              <w:jc w:val="both"/>
              <w:rPr>
                <w:color w:val="000000" w:themeColor="text1"/>
              </w:rPr>
            </w:pPr>
            <w:r w:rsidRPr="00494EF1">
              <w:rPr>
                <w:color w:val="000000" w:themeColor="text1"/>
              </w:rPr>
              <w:t>L’organisation des entretiens collectifs ou individuels</w:t>
            </w:r>
          </w:p>
          <w:p w14:paraId="367F4EAE" w14:textId="77777777" w:rsidR="00494EF1" w:rsidRPr="00494EF1" w:rsidRDefault="00494EF1" w:rsidP="00494EF1">
            <w:pPr>
              <w:spacing w:after="0" w:line="240" w:lineRule="auto"/>
              <w:jc w:val="both"/>
              <w:rPr>
                <w:color w:val="000000" w:themeColor="text1"/>
              </w:rPr>
            </w:pPr>
          </w:p>
          <w:p w14:paraId="4CFA35F0"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principes de conduite et d’animation d’un entretien </w:t>
            </w:r>
          </w:p>
          <w:p w14:paraId="35F41207" w14:textId="77777777" w:rsidR="00494EF1" w:rsidRPr="00494EF1" w:rsidRDefault="00494EF1" w:rsidP="00494EF1">
            <w:pPr>
              <w:spacing w:after="0" w:line="240" w:lineRule="auto"/>
              <w:jc w:val="both"/>
              <w:rPr>
                <w:color w:val="000000" w:themeColor="text1"/>
              </w:rPr>
            </w:pPr>
            <w:r w:rsidRPr="00494EF1">
              <w:rPr>
                <w:color w:val="000000" w:themeColor="text1"/>
              </w:rPr>
              <w:t>Les entretiens de recrutement, d’évaluation, de bilan, de progrès, de suivi d’actions, les « briefs »</w:t>
            </w:r>
          </w:p>
          <w:p w14:paraId="6F646836" w14:textId="77777777" w:rsidR="00494EF1" w:rsidRPr="00494EF1" w:rsidRDefault="00494EF1" w:rsidP="00494EF1">
            <w:pPr>
              <w:spacing w:after="0" w:line="240" w:lineRule="auto"/>
              <w:jc w:val="both"/>
              <w:rPr>
                <w:color w:val="000000" w:themeColor="text1"/>
              </w:rPr>
            </w:pPr>
            <w:r w:rsidRPr="00494EF1">
              <w:rPr>
                <w:color w:val="000000" w:themeColor="text1"/>
              </w:rPr>
              <w:t>Les supports de l’entretien (résultats, acquis de l’expérience, etc)</w:t>
            </w:r>
          </w:p>
        </w:tc>
      </w:tr>
      <w:tr w:rsidR="00494EF1" w:rsidRPr="00494EF1" w14:paraId="0876316B" w14:textId="77777777" w:rsidTr="00494EF1">
        <w:tc>
          <w:tcPr>
            <w:tcW w:w="4111" w:type="dxa"/>
          </w:tcPr>
          <w:p w14:paraId="41CC0DD0" w14:textId="77777777" w:rsidR="00494EF1" w:rsidRPr="00494EF1" w:rsidRDefault="00494EF1" w:rsidP="00494EF1">
            <w:pPr>
              <w:spacing w:after="0" w:line="240" w:lineRule="auto"/>
              <w:jc w:val="both"/>
              <w:rPr>
                <w:color w:val="000000" w:themeColor="text1"/>
              </w:rPr>
            </w:pPr>
            <w:r w:rsidRPr="00494EF1">
              <w:rPr>
                <w:color w:val="000000" w:themeColor="text1"/>
              </w:rPr>
              <w:t>L’animation de l’équipe commerciale</w:t>
            </w:r>
          </w:p>
        </w:tc>
        <w:tc>
          <w:tcPr>
            <w:tcW w:w="10489" w:type="dxa"/>
          </w:tcPr>
          <w:p w14:paraId="4C3AB75C" w14:textId="77777777" w:rsidR="00494EF1" w:rsidRPr="00494EF1" w:rsidRDefault="00494EF1" w:rsidP="00494EF1">
            <w:pPr>
              <w:spacing w:after="0" w:line="240" w:lineRule="auto"/>
              <w:jc w:val="both"/>
              <w:rPr>
                <w:color w:val="000000" w:themeColor="text1"/>
              </w:rPr>
            </w:pPr>
            <w:r w:rsidRPr="00494EF1">
              <w:rPr>
                <w:color w:val="000000" w:themeColor="text1"/>
              </w:rPr>
              <w:t>Les objectifs de l’animation : information, motivation, cohésion, adhésion aux valeurs de l’enseigne, et soutien de son image etc.</w:t>
            </w:r>
          </w:p>
          <w:p w14:paraId="03991340" w14:textId="77777777" w:rsidR="00494EF1" w:rsidRPr="00494EF1" w:rsidRDefault="00494EF1" w:rsidP="00494EF1">
            <w:pPr>
              <w:spacing w:after="0" w:line="240" w:lineRule="auto"/>
              <w:jc w:val="both"/>
              <w:rPr>
                <w:color w:val="000000" w:themeColor="text1"/>
              </w:rPr>
            </w:pPr>
          </w:p>
          <w:p w14:paraId="22843506" w14:textId="77777777" w:rsidR="00494EF1" w:rsidRPr="00494EF1" w:rsidRDefault="00494EF1" w:rsidP="00494EF1">
            <w:pPr>
              <w:spacing w:after="0" w:line="240" w:lineRule="auto"/>
              <w:jc w:val="both"/>
              <w:rPr>
                <w:color w:val="000000" w:themeColor="text1"/>
              </w:rPr>
            </w:pPr>
            <w:r w:rsidRPr="00494EF1">
              <w:rPr>
                <w:color w:val="000000" w:themeColor="text1"/>
              </w:rPr>
              <w:t>Les styles de management</w:t>
            </w:r>
          </w:p>
          <w:p w14:paraId="44F2F88D" w14:textId="77777777" w:rsidR="00494EF1" w:rsidRPr="00494EF1" w:rsidRDefault="00494EF1" w:rsidP="00494EF1">
            <w:pPr>
              <w:spacing w:after="0" w:line="240" w:lineRule="auto"/>
              <w:jc w:val="both"/>
              <w:rPr>
                <w:color w:val="000000" w:themeColor="text1"/>
              </w:rPr>
            </w:pPr>
          </w:p>
          <w:p w14:paraId="38361D1A" w14:textId="77777777" w:rsidR="00494EF1" w:rsidRPr="00494EF1" w:rsidRDefault="00494EF1" w:rsidP="00494EF1">
            <w:pPr>
              <w:spacing w:after="0" w:line="240" w:lineRule="auto"/>
              <w:jc w:val="both"/>
              <w:rPr>
                <w:color w:val="000000" w:themeColor="text1"/>
              </w:rPr>
            </w:pPr>
            <w:r w:rsidRPr="00494EF1">
              <w:rPr>
                <w:color w:val="000000" w:themeColor="text1"/>
              </w:rPr>
              <w:t>Les outils de l’animation</w:t>
            </w:r>
          </w:p>
          <w:p w14:paraId="0F074D28" w14:textId="77777777" w:rsidR="00494EF1" w:rsidRPr="00494EF1" w:rsidRDefault="00494EF1" w:rsidP="00494EF1">
            <w:pPr>
              <w:spacing w:after="0" w:line="240" w:lineRule="auto"/>
              <w:jc w:val="both"/>
              <w:rPr>
                <w:color w:val="000000" w:themeColor="text1"/>
              </w:rPr>
            </w:pPr>
            <w:r w:rsidRPr="00494EF1">
              <w:rPr>
                <w:color w:val="000000" w:themeColor="text1"/>
              </w:rPr>
              <w:t>La communication interne</w:t>
            </w:r>
          </w:p>
          <w:p w14:paraId="2627C1C9" w14:textId="77777777" w:rsidR="00494EF1" w:rsidRPr="00494EF1" w:rsidRDefault="00494EF1" w:rsidP="00494EF1">
            <w:pPr>
              <w:spacing w:after="0" w:line="240" w:lineRule="auto"/>
              <w:jc w:val="both"/>
              <w:rPr>
                <w:color w:val="000000" w:themeColor="text1"/>
              </w:rPr>
            </w:pPr>
            <w:r w:rsidRPr="00494EF1">
              <w:rPr>
                <w:color w:val="000000" w:themeColor="text1"/>
              </w:rPr>
              <w:t>Les techniques de renforcement de la motivation individuelle (coaching, entretien professionnel, entretien d’évaluation, formation, etc.)</w:t>
            </w:r>
          </w:p>
          <w:p w14:paraId="5E421615" w14:textId="77777777" w:rsidR="00494EF1" w:rsidRPr="00494EF1" w:rsidRDefault="00494EF1" w:rsidP="00494EF1">
            <w:pPr>
              <w:spacing w:after="0" w:line="240" w:lineRule="auto"/>
              <w:jc w:val="both"/>
              <w:rPr>
                <w:color w:val="000000" w:themeColor="text1"/>
              </w:rPr>
            </w:pPr>
            <w:r w:rsidRPr="00494EF1">
              <w:rPr>
                <w:color w:val="000000" w:themeColor="text1"/>
              </w:rPr>
              <w:t>Les règles d’une délégation efficace</w:t>
            </w:r>
          </w:p>
          <w:p w14:paraId="28560A35" w14:textId="77777777" w:rsidR="00494EF1" w:rsidRPr="00494EF1" w:rsidRDefault="00494EF1" w:rsidP="00494EF1">
            <w:pPr>
              <w:spacing w:after="0" w:line="240" w:lineRule="auto"/>
              <w:jc w:val="both"/>
              <w:rPr>
                <w:color w:val="000000" w:themeColor="text1"/>
              </w:rPr>
            </w:pPr>
            <w:r w:rsidRPr="00494EF1">
              <w:rPr>
                <w:color w:val="000000" w:themeColor="text1"/>
              </w:rPr>
              <w:t>Les techniques de renforcement de la cohésion d’équipe</w:t>
            </w:r>
          </w:p>
          <w:p w14:paraId="07D26049" w14:textId="77777777" w:rsidR="00494EF1" w:rsidRPr="00494EF1" w:rsidRDefault="00494EF1" w:rsidP="00494EF1">
            <w:pPr>
              <w:spacing w:after="0" w:line="240" w:lineRule="auto"/>
              <w:jc w:val="both"/>
              <w:rPr>
                <w:color w:val="000000" w:themeColor="text1"/>
              </w:rPr>
            </w:pPr>
            <w:r w:rsidRPr="00494EF1">
              <w:rPr>
                <w:color w:val="000000" w:themeColor="text1"/>
              </w:rPr>
              <w:t>Les techniques de développement de l’action collective (conduite de réunion, communication du manageur, information)</w:t>
            </w:r>
          </w:p>
          <w:p w14:paraId="2CC47982" w14:textId="77777777" w:rsidR="00494EF1" w:rsidRPr="00494EF1" w:rsidRDefault="00494EF1" w:rsidP="00494EF1">
            <w:pPr>
              <w:spacing w:after="0" w:line="240" w:lineRule="auto"/>
              <w:jc w:val="both"/>
              <w:rPr>
                <w:color w:val="000000" w:themeColor="text1"/>
              </w:rPr>
            </w:pPr>
            <w:r w:rsidRPr="00494EF1">
              <w:rPr>
                <w:color w:val="000000" w:themeColor="text1"/>
              </w:rPr>
              <w:t>Le travail collaboratif au service de l’animation</w:t>
            </w:r>
          </w:p>
        </w:tc>
      </w:tr>
      <w:tr w:rsidR="00494EF1" w:rsidRPr="00494EF1" w14:paraId="295041C2" w14:textId="77777777" w:rsidTr="00494EF1">
        <w:tc>
          <w:tcPr>
            <w:tcW w:w="4111" w:type="dxa"/>
          </w:tcPr>
          <w:p w14:paraId="39528A66"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La rémunération de l’équipe commerciale</w:t>
            </w:r>
          </w:p>
          <w:p w14:paraId="2E942B32" w14:textId="77777777" w:rsidR="00494EF1" w:rsidRPr="00494EF1" w:rsidRDefault="00494EF1" w:rsidP="00494EF1">
            <w:pPr>
              <w:spacing w:after="0" w:line="240" w:lineRule="auto"/>
              <w:jc w:val="both"/>
              <w:rPr>
                <w:color w:val="000000" w:themeColor="text1"/>
              </w:rPr>
            </w:pPr>
          </w:p>
          <w:p w14:paraId="0549E33A" w14:textId="77777777" w:rsidR="00494EF1" w:rsidRPr="00494EF1" w:rsidRDefault="00494EF1" w:rsidP="00494EF1">
            <w:pPr>
              <w:spacing w:after="0" w:line="240" w:lineRule="auto"/>
              <w:jc w:val="both"/>
              <w:rPr>
                <w:color w:val="000000" w:themeColor="text1"/>
              </w:rPr>
            </w:pPr>
          </w:p>
          <w:p w14:paraId="7E9ED52C" w14:textId="77777777" w:rsidR="00494EF1" w:rsidRPr="00494EF1" w:rsidRDefault="00494EF1" w:rsidP="00494EF1">
            <w:pPr>
              <w:spacing w:after="0" w:line="240" w:lineRule="auto"/>
              <w:jc w:val="both"/>
              <w:rPr>
                <w:color w:val="000000" w:themeColor="text1"/>
              </w:rPr>
            </w:pPr>
          </w:p>
          <w:p w14:paraId="2E650686" w14:textId="77777777" w:rsidR="00494EF1" w:rsidRPr="00494EF1" w:rsidRDefault="00494EF1" w:rsidP="00494EF1">
            <w:pPr>
              <w:spacing w:after="0" w:line="240" w:lineRule="auto"/>
              <w:jc w:val="both"/>
              <w:rPr>
                <w:color w:val="000000" w:themeColor="text1"/>
              </w:rPr>
            </w:pPr>
          </w:p>
          <w:p w14:paraId="74B82129" w14:textId="77777777" w:rsidR="00494EF1" w:rsidRPr="00494EF1" w:rsidRDefault="00494EF1" w:rsidP="00494EF1">
            <w:pPr>
              <w:spacing w:after="0" w:line="240" w:lineRule="auto"/>
              <w:jc w:val="both"/>
              <w:rPr>
                <w:color w:val="000000" w:themeColor="text1"/>
              </w:rPr>
            </w:pPr>
          </w:p>
          <w:p w14:paraId="56DD23F8" w14:textId="77777777" w:rsidR="00494EF1" w:rsidRPr="00494EF1" w:rsidRDefault="00494EF1" w:rsidP="00494EF1">
            <w:pPr>
              <w:spacing w:after="0" w:line="240" w:lineRule="auto"/>
              <w:jc w:val="both"/>
              <w:rPr>
                <w:color w:val="000000" w:themeColor="text1"/>
              </w:rPr>
            </w:pPr>
          </w:p>
          <w:p w14:paraId="7CB9C784" w14:textId="77777777" w:rsidR="00494EF1" w:rsidRPr="00494EF1" w:rsidRDefault="00494EF1" w:rsidP="00494EF1">
            <w:pPr>
              <w:spacing w:after="0" w:line="240" w:lineRule="auto"/>
              <w:jc w:val="both"/>
              <w:rPr>
                <w:color w:val="000000" w:themeColor="text1"/>
              </w:rPr>
            </w:pPr>
          </w:p>
        </w:tc>
        <w:tc>
          <w:tcPr>
            <w:tcW w:w="10489" w:type="dxa"/>
          </w:tcPr>
          <w:p w14:paraId="7E281EC4" w14:textId="77777777" w:rsidR="00494EF1" w:rsidRPr="00494EF1" w:rsidRDefault="00494EF1" w:rsidP="00494EF1">
            <w:pPr>
              <w:spacing w:after="0" w:line="240" w:lineRule="auto"/>
              <w:jc w:val="both"/>
              <w:rPr>
                <w:color w:val="000000" w:themeColor="text1"/>
              </w:rPr>
            </w:pPr>
            <w:r w:rsidRPr="00494EF1">
              <w:rPr>
                <w:color w:val="000000" w:themeColor="text1"/>
              </w:rPr>
              <w:t>Les différentes composantes d’un système de rémunération</w:t>
            </w:r>
          </w:p>
          <w:p w14:paraId="6431434E"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enjeux de la rémunération : efficacité et maîtrise des coûts ; stabilité de l’équipe, maîtrise du </w:t>
            </w:r>
            <w:proofErr w:type="spellStart"/>
            <w:r w:rsidRPr="00494EF1">
              <w:rPr>
                <w:color w:val="000000" w:themeColor="text1"/>
              </w:rPr>
              <w:t>turn</w:t>
            </w:r>
            <w:proofErr w:type="spellEnd"/>
            <w:r w:rsidRPr="00494EF1">
              <w:rPr>
                <w:color w:val="000000" w:themeColor="text1"/>
              </w:rPr>
              <w:t xml:space="preserve"> over.</w:t>
            </w:r>
          </w:p>
          <w:p w14:paraId="50EFFC26" w14:textId="77777777" w:rsidR="00494EF1" w:rsidRPr="00494EF1" w:rsidRDefault="00494EF1" w:rsidP="00494EF1">
            <w:pPr>
              <w:spacing w:after="0" w:line="240" w:lineRule="auto"/>
              <w:jc w:val="both"/>
              <w:rPr>
                <w:color w:val="000000" w:themeColor="text1"/>
              </w:rPr>
            </w:pPr>
            <w:r w:rsidRPr="00494EF1">
              <w:rPr>
                <w:color w:val="000000" w:themeColor="text1"/>
              </w:rPr>
              <w:t>Les modes de rémunération : fixe, commission, prime, rémunérations indirectes (avantages en nature, intéressement)</w:t>
            </w:r>
          </w:p>
          <w:p w14:paraId="21A91E77" w14:textId="77777777" w:rsidR="00494EF1" w:rsidRPr="00494EF1" w:rsidRDefault="00494EF1" w:rsidP="00494EF1">
            <w:pPr>
              <w:spacing w:after="0" w:line="240" w:lineRule="auto"/>
              <w:jc w:val="both"/>
              <w:rPr>
                <w:color w:val="000000" w:themeColor="text1"/>
              </w:rPr>
            </w:pPr>
          </w:p>
          <w:p w14:paraId="70027AD8" w14:textId="77777777" w:rsidR="00494EF1" w:rsidRPr="00E02192" w:rsidRDefault="00494EF1" w:rsidP="00494EF1">
            <w:pPr>
              <w:spacing w:after="0" w:line="240" w:lineRule="auto"/>
              <w:jc w:val="both"/>
              <w:rPr>
                <w:rFonts w:cs="Calibri"/>
                <w:i/>
                <w:color w:val="D60093"/>
              </w:rPr>
            </w:pPr>
            <w:r w:rsidRPr="00E02192">
              <w:rPr>
                <w:rFonts w:cs="Calibri"/>
                <w:i/>
                <w:color w:val="D60093"/>
              </w:rPr>
              <w:t>Les contraintes légales liées à la rémunération</w:t>
            </w:r>
          </w:p>
          <w:p w14:paraId="2A2F927A" w14:textId="77777777" w:rsidR="00494EF1" w:rsidRPr="00E02192" w:rsidRDefault="00494EF1" w:rsidP="00494EF1">
            <w:pPr>
              <w:spacing w:after="0" w:line="240" w:lineRule="auto"/>
              <w:jc w:val="both"/>
              <w:rPr>
                <w:rFonts w:cs="Calibri"/>
                <w:i/>
                <w:color w:val="D60093"/>
              </w:rPr>
            </w:pPr>
            <w:r w:rsidRPr="00E02192">
              <w:rPr>
                <w:rFonts w:cs="Calibri"/>
                <w:i/>
                <w:color w:val="D60093"/>
              </w:rPr>
              <w:t>Salaire minimum, heures supplémentaires</w:t>
            </w:r>
          </w:p>
          <w:p w14:paraId="7E131C45" w14:textId="77777777" w:rsidR="00494EF1" w:rsidRPr="00494EF1" w:rsidRDefault="00494EF1" w:rsidP="00494EF1">
            <w:pPr>
              <w:spacing w:after="0" w:line="240" w:lineRule="auto"/>
              <w:jc w:val="both"/>
              <w:rPr>
                <w:color w:val="000000" w:themeColor="text1"/>
              </w:rPr>
            </w:pPr>
          </w:p>
          <w:p w14:paraId="3E308DFC" w14:textId="77777777" w:rsidR="00494EF1" w:rsidRPr="00494EF1" w:rsidRDefault="00494EF1" w:rsidP="00494EF1">
            <w:pPr>
              <w:spacing w:after="0" w:line="240" w:lineRule="auto"/>
              <w:jc w:val="both"/>
              <w:rPr>
                <w:color w:val="000000" w:themeColor="text1"/>
              </w:rPr>
            </w:pPr>
            <w:r w:rsidRPr="00494EF1">
              <w:rPr>
                <w:color w:val="000000" w:themeColor="text1"/>
              </w:rPr>
              <w:t>Le coût de la rémunération</w:t>
            </w:r>
          </w:p>
          <w:p w14:paraId="67C3CD64" w14:textId="77777777" w:rsidR="00494EF1" w:rsidRPr="00494EF1" w:rsidRDefault="00494EF1" w:rsidP="00494EF1">
            <w:pPr>
              <w:spacing w:after="0" w:line="240" w:lineRule="auto"/>
              <w:jc w:val="both"/>
              <w:rPr>
                <w:color w:val="000000" w:themeColor="text1"/>
              </w:rPr>
            </w:pPr>
            <w:r w:rsidRPr="00494EF1">
              <w:rPr>
                <w:color w:val="000000" w:themeColor="text1"/>
              </w:rPr>
              <w:t>La masse salariale et son évolution</w:t>
            </w:r>
          </w:p>
          <w:p w14:paraId="5DAB7528" w14:textId="77777777" w:rsidR="00494EF1" w:rsidRPr="00494EF1" w:rsidRDefault="00494EF1" w:rsidP="00494EF1">
            <w:pPr>
              <w:spacing w:after="0" w:line="240" w:lineRule="auto"/>
              <w:jc w:val="both"/>
              <w:rPr>
                <w:color w:val="000000" w:themeColor="text1"/>
              </w:rPr>
            </w:pPr>
            <w:r w:rsidRPr="00494EF1">
              <w:rPr>
                <w:color w:val="000000" w:themeColor="text1"/>
              </w:rPr>
              <w:t>Le coût de la rémunération et les performances commerciales</w:t>
            </w:r>
          </w:p>
          <w:p w14:paraId="15BA54BA" w14:textId="77777777" w:rsidR="00494EF1" w:rsidRPr="00494EF1" w:rsidRDefault="00494EF1" w:rsidP="00494EF1">
            <w:pPr>
              <w:spacing w:after="0" w:line="240" w:lineRule="auto"/>
              <w:jc w:val="both"/>
              <w:rPr>
                <w:color w:val="000000" w:themeColor="text1"/>
              </w:rPr>
            </w:pPr>
          </w:p>
          <w:p w14:paraId="28512B34" w14:textId="77777777" w:rsidR="00494EF1" w:rsidRPr="00E02192" w:rsidRDefault="00494EF1" w:rsidP="00494EF1">
            <w:pPr>
              <w:spacing w:after="0" w:line="240" w:lineRule="auto"/>
              <w:jc w:val="both"/>
              <w:rPr>
                <w:rFonts w:cs="Calibri"/>
                <w:i/>
                <w:color w:val="D60093"/>
              </w:rPr>
            </w:pPr>
            <w:r w:rsidRPr="00E02192">
              <w:rPr>
                <w:rFonts w:cs="Calibri"/>
                <w:i/>
                <w:color w:val="D60093"/>
              </w:rPr>
              <w:t>Le bulletin de paie</w:t>
            </w:r>
          </w:p>
          <w:p w14:paraId="4CF3363E" w14:textId="77777777" w:rsidR="00494EF1" w:rsidRPr="00494EF1" w:rsidRDefault="00494EF1" w:rsidP="00494EF1">
            <w:pPr>
              <w:spacing w:after="0" w:line="240" w:lineRule="auto"/>
              <w:jc w:val="both"/>
              <w:rPr>
                <w:color w:val="000000" w:themeColor="text1"/>
              </w:rPr>
            </w:pPr>
            <w:r w:rsidRPr="00494EF1">
              <w:rPr>
                <w:color w:val="000000" w:themeColor="text1"/>
              </w:rPr>
              <w:t>Salaire brut, charges sociales patronales.</w:t>
            </w:r>
          </w:p>
          <w:p w14:paraId="2974C5E3" w14:textId="77777777" w:rsidR="00494EF1" w:rsidRPr="00494EF1" w:rsidRDefault="00494EF1" w:rsidP="00494EF1">
            <w:pPr>
              <w:spacing w:after="0" w:line="240" w:lineRule="auto"/>
              <w:jc w:val="both"/>
              <w:rPr>
                <w:color w:val="000000" w:themeColor="text1"/>
              </w:rPr>
            </w:pPr>
            <w:r w:rsidRPr="00494EF1">
              <w:rPr>
                <w:color w:val="000000" w:themeColor="text1"/>
              </w:rPr>
              <w:t>Les composantes d’un bulletin de paie (</w:t>
            </w:r>
            <w:r w:rsidRPr="00E02192">
              <w:rPr>
                <w:rFonts w:cs="Calibri"/>
                <w:i/>
                <w:color w:val="D60093"/>
              </w:rPr>
              <w:t>mentions obligatoires, mentions facultatives, mentions interdites)</w:t>
            </w:r>
          </w:p>
          <w:p w14:paraId="7FD85560" w14:textId="77777777" w:rsidR="00494EF1" w:rsidRPr="00494EF1" w:rsidRDefault="00494EF1" w:rsidP="00494EF1">
            <w:pPr>
              <w:spacing w:after="0" w:line="240" w:lineRule="auto"/>
              <w:jc w:val="both"/>
              <w:rPr>
                <w:color w:val="000000" w:themeColor="text1"/>
              </w:rPr>
            </w:pPr>
          </w:p>
        </w:tc>
      </w:tr>
      <w:tr w:rsidR="00494EF1" w:rsidRPr="00494EF1" w14:paraId="0928E096" w14:textId="77777777" w:rsidTr="00494EF1">
        <w:tc>
          <w:tcPr>
            <w:tcW w:w="4111" w:type="dxa"/>
          </w:tcPr>
          <w:p w14:paraId="06F768F3" w14:textId="77777777" w:rsidR="00494EF1" w:rsidRPr="00494EF1" w:rsidRDefault="00494EF1" w:rsidP="00494EF1">
            <w:pPr>
              <w:spacing w:after="0" w:line="240" w:lineRule="auto"/>
              <w:jc w:val="both"/>
              <w:rPr>
                <w:color w:val="000000" w:themeColor="text1"/>
              </w:rPr>
            </w:pPr>
            <w:r w:rsidRPr="00494EF1">
              <w:rPr>
                <w:color w:val="000000" w:themeColor="text1"/>
              </w:rPr>
              <w:t>La stimulation de l’équipe commerciale</w:t>
            </w:r>
          </w:p>
          <w:p w14:paraId="5C81F1F7" w14:textId="77777777" w:rsidR="00494EF1" w:rsidRPr="00494EF1" w:rsidRDefault="00494EF1" w:rsidP="00494EF1">
            <w:pPr>
              <w:spacing w:after="0" w:line="240" w:lineRule="auto"/>
              <w:jc w:val="both"/>
              <w:rPr>
                <w:color w:val="000000" w:themeColor="text1"/>
              </w:rPr>
            </w:pPr>
          </w:p>
          <w:p w14:paraId="002C79B6" w14:textId="77777777" w:rsidR="00494EF1" w:rsidRPr="00494EF1" w:rsidRDefault="00494EF1" w:rsidP="00494EF1">
            <w:pPr>
              <w:spacing w:after="0" w:line="240" w:lineRule="auto"/>
              <w:jc w:val="both"/>
              <w:rPr>
                <w:color w:val="000000" w:themeColor="text1"/>
              </w:rPr>
            </w:pPr>
          </w:p>
          <w:p w14:paraId="4545DA96" w14:textId="77777777" w:rsidR="00494EF1" w:rsidRPr="00494EF1" w:rsidRDefault="00494EF1" w:rsidP="00494EF1">
            <w:pPr>
              <w:spacing w:after="0" w:line="240" w:lineRule="auto"/>
              <w:jc w:val="both"/>
              <w:rPr>
                <w:color w:val="000000" w:themeColor="text1"/>
              </w:rPr>
            </w:pPr>
          </w:p>
          <w:p w14:paraId="23DF916D" w14:textId="77777777" w:rsidR="00494EF1" w:rsidRPr="00494EF1" w:rsidRDefault="00494EF1" w:rsidP="00494EF1">
            <w:pPr>
              <w:spacing w:after="0" w:line="240" w:lineRule="auto"/>
              <w:jc w:val="both"/>
              <w:rPr>
                <w:color w:val="000000" w:themeColor="text1"/>
              </w:rPr>
            </w:pPr>
          </w:p>
          <w:p w14:paraId="52DAB7CC" w14:textId="77777777" w:rsidR="00494EF1" w:rsidRPr="00494EF1" w:rsidRDefault="00494EF1" w:rsidP="00494EF1">
            <w:pPr>
              <w:spacing w:after="0" w:line="240" w:lineRule="auto"/>
              <w:jc w:val="both"/>
              <w:rPr>
                <w:color w:val="000000" w:themeColor="text1"/>
              </w:rPr>
            </w:pPr>
          </w:p>
          <w:p w14:paraId="2BC9E59A" w14:textId="77777777" w:rsidR="00494EF1" w:rsidRPr="00494EF1" w:rsidRDefault="00494EF1" w:rsidP="00494EF1">
            <w:pPr>
              <w:spacing w:after="0" w:line="240" w:lineRule="auto"/>
              <w:jc w:val="both"/>
              <w:rPr>
                <w:color w:val="000000" w:themeColor="text1"/>
              </w:rPr>
            </w:pPr>
          </w:p>
          <w:p w14:paraId="7B7A0C46" w14:textId="77777777" w:rsidR="00494EF1" w:rsidRPr="00494EF1" w:rsidRDefault="00494EF1" w:rsidP="00494EF1">
            <w:pPr>
              <w:spacing w:after="0" w:line="240" w:lineRule="auto"/>
              <w:jc w:val="both"/>
              <w:rPr>
                <w:color w:val="000000" w:themeColor="text1"/>
              </w:rPr>
            </w:pPr>
          </w:p>
        </w:tc>
        <w:tc>
          <w:tcPr>
            <w:tcW w:w="10489" w:type="dxa"/>
          </w:tcPr>
          <w:p w14:paraId="1435D6A3" w14:textId="77777777" w:rsidR="00494EF1" w:rsidRPr="00494EF1" w:rsidRDefault="00494EF1" w:rsidP="00494EF1">
            <w:pPr>
              <w:spacing w:after="0" w:line="240" w:lineRule="auto"/>
              <w:jc w:val="both"/>
              <w:rPr>
                <w:color w:val="000000" w:themeColor="text1"/>
              </w:rPr>
            </w:pPr>
            <w:r w:rsidRPr="00494EF1">
              <w:rPr>
                <w:color w:val="000000" w:themeColor="text1"/>
              </w:rPr>
              <w:t>Les moyens de stimulation</w:t>
            </w:r>
          </w:p>
          <w:p w14:paraId="7077F2C5" w14:textId="77777777" w:rsidR="00494EF1" w:rsidRPr="00494EF1" w:rsidRDefault="00494EF1" w:rsidP="00494EF1">
            <w:pPr>
              <w:spacing w:after="0" w:line="240" w:lineRule="auto"/>
              <w:jc w:val="both"/>
              <w:rPr>
                <w:color w:val="000000" w:themeColor="text1"/>
              </w:rPr>
            </w:pPr>
            <w:r w:rsidRPr="00494EF1">
              <w:rPr>
                <w:color w:val="000000" w:themeColor="text1"/>
              </w:rPr>
              <w:t>Les facteurs de motivation des collaborateurs</w:t>
            </w:r>
          </w:p>
          <w:p w14:paraId="44A95B50"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techniques de stimulation et les </w:t>
            </w:r>
          </w:p>
          <w:p w14:paraId="3020EDB2" w14:textId="77777777" w:rsidR="00494EF1" w:rsidRPr="00494EF1" w:rsidRDefault="00494EF1" w:rsidP="00494EF1">
            <w:pPr>
              <w:spacing w:after="0" w:line="240" w:lineRule="auto"/>
              <w:jc w:val="both"/>
              <w:rPr>
                <w:color w:val="000000" w:themeColor="text1"/>
              </w:rPr>
            </w:pPr>
            <w:r w:rsidRPr="00494EF1">
              <w:rPr>
                <w:color w:val="000000" w:themeColor="text1"/>
              </w:rPr>
              <w:t>« </w:t>
            </w:r>
            <w:proofErr w:type="spellStart"/>
            <w:proofErr w:type="gramStart"/>
            <w:r w:rsidRPr="00494EF1">
              <w:rPr>
                <w:color w:val="000000" w:themeColor="text1"/>
              </w:rPr>
              <w:t>incentives</w:t>
            </w:r>
            <w:proofErr w:type="spellEnd"/>
            <w:proofErr w:type="gramEnd"/>
            <w:r w:rsidRPr="00494EF1">
              <w:rPr>
                <w:color w:val="000000" w:themeColor="text1"/>
              </w:rPr>
              <w:t> » : séminaires, concours de vente, challenge, évènementiel, etc.</w:t>
            </w:r>
          </w:p>
          <w:p w14:paraId="7A4B9323" w14:textId="77777777" w:rsidR="00494EF1" w:rsidRPr="00494EF1" w:rsidRDefault="00494EF1" w:rsidP="00494EF1">
            <w:pPr>
              <w:spacing w:after="0" w:line="240" w:lineRule="auto"/>
              <w:jc w:val="both"/>
              <w:rPr>
                <w:color w:val="000000" w:themeColor="text1"/>
              </w:rPr>
            </w:pPr>
          </w:p>
          <w:p w14:paraId="40589EE0" w14:textId="77777777" w:rsidR="00494EF1" w:rsidRPr="00494EF1" w:rsidRDefault="00494EF1" w:rsidP="00494EF1">
            <w:pPr>
              <w:spacing w:after="0" w:line="240" w:lineRule="auto"/>
              <w:jc w:val="both"/>
              <w:rPr>
                <w:color w:val="000000" w:themeColor="text1"/>
              </w:rPr>
            </w:pPr>
            <w:r w:rsidRPr="00494EF1">
              <w:rPr>
                <w:color w:val="000000" w:themeColor="text1"/>
              </w:rPr>
              <w:t>Les opérations de stimulation</w:t>
            </w:r>
          </w:p>
          <w:p w14:paraId="22D3C647" w14:textId="77777777" w:rsidR="00494EF1" w:rsidRPr="00494EF1" w:rsidRDefault="00494EF1" w:rsidP="00494EF1">
            <w:pPr>
              <w:spacing w:after="0" w:line="240" w:lineRule="auto"/>
              <w:jc w:val="both"/>
              <w:rPr>
                <w:color w:val="000000" w:themeColor="text1"/>
              </w:rPr>
            </w:pPr>
            <w:r w:rsidRPr="00494EF1">
              <w:rPr>
                <w:color w:val="000000" w:themeColor="text1"/>
              </w:rPr>
              <w:t>La méthodologie de d’organisation d’une opération de stimulation</w:t>
            </w:r>
          </w:p>
          <w:p w14:paraId="316A4F89" w14:textId="77777777" w:rsidR="00494EF1" w:rsidRPr="00494EF1" w:rsidRDefault="00494EF1" w:rsidP="00494EF1">
            <w:pPr>
              <w:spacing w:after="0" w:line="240" w:lineRule="auto"/>
              <w:jc w:val="both"/>
              <w:rPr>
                <w:color w:val="000000" w:themeColor="text1"/>
              </w:rPr>
            </w:pPr>
            <w:r w:rsidRPr="00494EF1">
              <w:rPr>
                <w:color w:val="000000" w:themeColor="text1"/>
              </w:rPr>
              <w:t>Les objectifs, la planification et le bilan des opérations de stimulation</w:t>
            </w:r>
          </w:p>
          <w:p w14:paraId="567A0805" w14:textId="77777777" w:rsidR="00494EF1" w:rsidRPr="00494EF1" w:rsidRDefault="00494EF1" w:rsidP="00494EF1">
            <w:pPr>
              <w:spacing w:after="0" w:line="240" w:lineRule="auto"/>
              <w:jc w:val="both"/>
              <w:rPr>
                <w:color w:val="000000" w:themeColor="text1"/>
              </w:rPr>
            </w:pPr>
          </w:p>
          <w:p w14:paraId="22928C13" w14:textId="77777777" w:rsidR="00494EF1" w:rsidRPr="00E02192" w:rsidRDefault="00494EF1" w:rsidP="00494EF1">
            <w:pPr>
              <w:spacing w:after="0" w:line="240" w:lineRule="auto"/>
              <w:jc w:val="both"/>
              <w:rPr>
                <w:rFonts w:cs="Calibri"/>
                <w:i/>
                <w:color w:val="D60093"/>
              </w:rPr>
            </w:pPr>
            <w:r w:rsidRPr="00E02192">
              <w:rPr>
                <w:rFonts w:cs="Calibri"/>
                <w:i/>
                <w:color w:val="D60093"/>
              </w:rPr>
              <w:t xml:space="preserve">Les contraintes légales liées à la stimulation </w:t>
            </w:r>
          </w:p>
          <w:p w14:paraId="6B1469B9" w14:textId="77777777" w:rsidR="00494EF1" w:rsidRPr="00494EF1" w:rsidRDefault="00494EF1" w:rsidP="00494EF1">
            <w:pPr>
              <w:spacing w:after="0" w:line="240" w:lineRule="auto"/>
              <w:jc w:val="both"/>
              <w:rPr>
                <w:color w:val="000000" w:themeColor="text1"/>
              </w:rPr>
            </w:pPr>
            <w:r w:rsidRPr="00E02192">
              <w:rPr>
                <w:rFonts w:cs="Calibri"/>
                <w:i/>
                <w:color w:val="D60093"/>
              </w:rPr>
              <w:t>Les règlements des jeux/concours et challenges</w:t>
            </w:r>
          </w:p>
        </w:tc>
      </w:tr>
      <w:tr w:rsidR="00494EF1" w:rsidRPr="00494EF1" w14:paraId="1712EF3B" w14:textId="77777777" w:rsidTr="00494EF1">
        <w:tc>
          <w:tcPr>
            <w:tcW w:w="4111" w:type="dxa"/>
          </w:tcPr>
          <w:p w14:paraId="003C9012" w14:textId="77777777" w:rsidR="00494EF1" w:rsidRPr="00494EF1" w:rsidRDefault="00494EF1" w:rsidP="00494EF1">
            <w:pPr>
              <w:spacing w:after="0" w:line="240" w:lineRule="auto"/>
              <w:jc w:val="both"/>
              <w:rPr>
                <w:color w:val="000000" w:themeColor="text1"/>
              </w:rPr>
            </w:pPr>
            <w:r w:rsidRPr="00494EF1">
              <w:rPr>
                <w:color w:val="000000" w:themeColor="text1"/>
              </w:rPr>
              <w:t>La formation de l’équipe commerciale</w:t>
            </w:r>
          </w:p>
          <w:p w14:paraId="2E6FB125" w14:textId="77777777" w:rsidR="00494EF1" w:rsidRPr="00494EF1" w:rsidRDefault="00494EF1" w:rsidP="00494EF1">
            <w:pPr>
              <w:spacing w:after="0" w:line="240" w:lineRule="auto"/>
              <w:jc w:val="both"/>
              <w:rPr>
                <w:color w:val="000000" w:themeColor="text1"/>
              </w:rPr>
            </w:pPr>
          </w:p>
          <w:p w14:paraId="0DEBB189" w14:textId="77777777" w:rsidR="00494EF1" w:rsidRPr="00494EF1" w:rsidRDefault="00494EF1" w:rsidP="00494EF1">
            <w:pPr>
              <w:spacing w:after="0" w:line="240" w:lineRule="auto"/>
              <w:jc w:val="both"/>
              <w:rPr>
                <w:color w:val="000000" w:themeColor="text1"/>
              </w:rPr>
            </w:pPr>
          </w:p>
          <w:p w14:paraId="26069582" w14:textId="77777777" w:rsidR="00494EF1" w:rsidRPr="00494EF1" w:rsidRDefault="00494EF1" w:rsidP="00494EF1">
            <w:pPr>
              <w:spacing w:after="0" w:line="240" w:lineRule="auto"/>
              <w:jc w:val="both"/>
              <w:rPr>
                <w:color w:val="000000" w:themeColor="text1"/>
              </w:rPr>
            </w:pPr>
          </w:p>
          <w:p w14:paraId="65A273AA" w14:textId="77777777" w:rsidR="00494EF1" w:rsidRPr="00494EF1" w:rsidRDefault="00494EF1" w:rsidP="00494EF1">
            <w:pPr>
              <w:spacing w:after="0" w:line="240" w:lineRule="auto"/>
              <w:jc w:val="both"/>
              <w:rPr>
                <w:color w:val="000000" w:themeColor="text1"/>
              </w:rPr>
            </w:pPr>
          </w:p>
          <w:p w14:paraId="243C3FFD" w14:textId="77777777" w:rsidR="00494EF1" w:rsidRPr="00494EF1" w:rsidRDefault="00494EF1" w:rsidP="00494EF1">
            <w:pPr>
              <w:spacing w:after="0" w:line="240" w:lineRule="auto"/>
              <w:jc w:val="both"/>
              <w:rPr>
                <w:color w:val="000000" w:themeColor="text1"/>
              </w:rPr>
            </w:pPr>
          </w:p>
          <w:p w14:paraId="366F90B9" w14:textId="77777777" w:rsidR="00494EF1" w:rsidRPr="00494EF1" w:rsidRDefault="00494EF1" w:rsidP="00494EF1">
            <w:pPr>
              <w:spacing w:after="0" w:line="240" w:lineRule="auto"/>
              <w:jc w:val="both"/>
              <w:rPr>
                <w:color w:val="000000" w:themeColor="text1"/>
              </w:rPr>
            </w:pPr>
          </w:p>
          <w:p w14:paraId="710FCB71" w14:textId="77777777" w:rsidR="00494EF1" w:rsidRPr="00494EF1" w:rsidRDefault="00494EF1" w:rsidP="00494EF1">
            <w:pPr>
              <w:spacing w:after="0" w:line="240" w:lineRule="auto"/>
              <w:jc w:val="both"/>
              <w:rPr>
                <w:color w:val="000000" w:themeColor="text1"/>
              </w:rPr>
            </w:pPr>
          </w:p>
          <w:p w14:paraId="05FC9DC6" w14:textId="77777777" w:rsidR="00494EF1" w:rsidRPr="00494EF1" w:rsidRDefault="00494EF1" w:rsidP="00494EF1">
            <w:pPr>
              <w:spacing w:after="0" w:line="240" w:lineRule="auto"/>
              <w:jc w:val="both"/>
              <w:rPr>
                <w:color w:val="000000" w:themeColor="text1"/>
              </w:rPr>
            </w:pPr>
          </w:p>
          <w:p w14:paraId="473D61D0" w14:textId="77777777" w:rsidR="00494EF1" w:rsidRPr="00494EF1" w:rsidRDefault="00494EF1" w:rsidP="00494EF1">
            <w:pPr>
              <w:spacing w:after="0" w:line="240" w:lineRule="auto"/>
              <w:jc w:val="both"/>
              <w:rPr>
                <w:color w:val="000000" w:themeColor="text1"/>
              </w:rPr>
            </w:pPr>
          </w:p>
          <w:p w14:paraId="18DE3AD6" w14:textId="77777777" w:rsidR="00494EF1" w:rsidRPr="00494EF1" w:rsidRDefault="00494EF1" w:rsidP="00494EF1">
            <w:pPr>
              <w:spacing w:after="0" w:line="240" w:lineRule="auto"/>
              <w:jc w:val="both"/>
              <w:rPr>
                <w:color w:val="000000" w:themeColor="text1"/>
              </w:rPr>
            </w:pPr>
          </w:p>
          <w:p w14:paraId="2083E827" w14:textId="77777777" w:rsidR="00494EF1" w:rsidRPr="00494EF1" w:rsidRDefault="00494EF1" w:rsidP="00494EF1">
            <w:pPr>
              <w:spacing w:after="0" w:line="240" w:lineRule="auto"/>
              <w:jc w:val="both"/>
              <w:rPr>
                <w:color w:val="000000" w:themeColor="text1"/>
              </w:rPr>
            </w:pPr>
          </w:p>
          <w:p w14:paraId="7F6DF3C9" w14:textId="77777777" w:rsidR="00494EF1" w:rsidRPr="00494EF1" w:rsidRDefault="00494EF1" w:rsidP="00494EF1">
            <w:pPr>
              <w:spacing w:after="0" w:line="240" w:lineRule="auto"/>
              <w:jc w:val="both"/>
              <w:rPr>
                <w:color w:val="000000" w:themeColor="text1"/>
              </w:rPr>
            </w:pPr>
          </w:p>
          <w:p w14:paraId="382E5B22" w14:textId="77777777" w:rsidR="00494EF1" w:rsidRPr="00494EF1" w:rsidRDefault="00494EF1" w:rsidP="00494EF1">
            <w:pPr>
              <w:spacing w:after="0" w:line="240" w:lineRule="auto"/>
              <w:jc w:val="both"/>
              <w:rPr>
                <w:color w:val="000000" w:themeColor="text1"/>
              </w:rPr>
            </w:pPr>
          </w:p>
          <w:p w14:paraId="656AFD98" w14:textId="77777777" w:rsidR="00494EF1" w:rsidRPr="00494EF1" w:rsidRDefault="00494EF1" w:rsidP="00494EF1">
            <w:pPr>
              <w:spacing w:after="0" w:line="240" w:lineRule="auto"/>
              <w:jc w:val="both"/>
              <w:rPr>
                <w:color w:val="000000" w:themeColor="text1"/>
              </w:rPr>
            </w:pPr>
          </w:p>
          <w:p w14:paraId="548F8CAE" w14:textId="77777777" w:rsidR="00494EF1" w:rsidRPr="00494EF1" w:rsidRDefault="00494EF1" w:rsidP="00494EF1">
            <w:pPr>
              <w:spacing w:after="0" w:line="240" w:lineRule="auto"/>
              <w:jc w:val="both"/>
              <w:rPr>
                <w:color w:val="000000" w:themeColor="text1"/>
              </w:rPr>
            </w:pPr>
          </w:p>
          <w:p w14:paraId="2214CE99" w14:textId="77777777" w:rsidR="00494EF1" w:rsidRPr="00494EF1" w:rsidRDefault="00494EF1" w:rsidP="00494EF1">
            <w:pPr>
              <w:spacing w:after="0" w:line="240" w:lineRule="auto"/>
              <w:jc w:val="both"/>
              <w:rPr>
                <w:color w:val="000000" w:themeColor="text1"/>
              </w:rPr>
            </w:pPr>
          </w:p>
          <w:p w14:paraId="13467FD4" w14:textId="77777777" w:rsidR="00494EF1" w:rsidRPr="00494EF1" w:rsidRDefault="00494EF1" w:rsidP="00494EF1">
            <w:pPr>
              <w:spacing w:after="0" w:line="240" w:lineRule="auto"/>
              <w:jc w:val="both"/>
              <w:rPr>
                <w:color w:val="000000" w:themeColor="text1"/>
              </w:rPr>
            </w:pPr>
          </w:p>
        </w:tc>
        <w:tc>
          <w:tcPr>
            <w:tcW w:w="10489" w:type="dxa"/>
          </w:tcPr>
          <w:p w14:paraId="12A29CFE"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La formation professionnelle</w:t>
            </w:r>
          </w:p>
          <w:p w14:paraId="036D7FDD"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 xml:space="preserve">Les enjeux </w:t>
            </w:r>
          </w:p>
          <w:p w14:paraId="1ACEEE9F" w14:textId="77777777" w:rsidR="00494EF1" w:rsidRPr="00494EF1" w:rsidRDefault="00494EF1" w:rsidP="00494EF1">
            <w:pPr>
              <w:spacing w:after="0" w:line="240" w:lineRule="auto"/>
              <w:jc w:val="both"/>
              <w:rPr>
                <w:color w:val="000000" w:themeColor="text1"/>
              </w:rPr>
            </w:pPr>
            <w:r w:rsidRPr="00494EF1">
              <w:rPr>
                <w:color w:val="000000" w:themeColor="text1"/>
              </w:rPr>
              <w:t>La formation comme outil de valorisation du potentiel de chaque collaborateur</w:t>
            </w:r>
          </w:p>
          <w:p w14:paraId="0FA4F91F" w14:textId="77777777" w:rsidR="00494EF1" w:rsidRPr="00494EF1" w:rsidRDefault="00494EF1" w:rsidP="00494EF1">
            <w:pPr>
              <w:spacing w:after="0" w:line="240" w:lineRule="auto"/>
              <w:jc w:val="both"/>
              <w:rPr>
                <w:color w:val="000000" w:themeColor="text1"/>
              </w:rPr>
            </w:pPr>
            <w:r w:rsidRPr="00494EF1">
              <w:rPr>
                <w:color w:val="000000" w:themeColor="text1"/>
              </w:rPr>
              <w:t>La typologie des formations (plan de formation entreprise, C.I.F, D.I.F, etc)</w:t>
            </w:r>
          </w:p>
          <w:p w14:paraId="46F5C5F2" w14:textId="77777777" w:rsidR="00494EF1" w:rsidRPr="00494EF1" w:rsidRDefault="00494EF1" w:rsidP="00494EF1">
            <w:pPr>
              <w:spacing w:after="0" w:line="240" w:lineRule="auto"/>
              <w:jc w:val="both"/>
              <w:rPr>
                <w:color w:val="000000" w:themeColor="text1"/>
              </w:rPr>
            </w:pPr>
            <w:r w:rsidRPr="00494EF1">
              <w:rPr>
                <w:color w:val="000000" w:themeColor="text1"/>
              </w:rPr>
              <w:t>Les contenus de formation : entreprise, produits, techniques de vente, gestion etc.</w:t>
            </w:r>
          </w:p>
          <w:p w14:paraId="5DB7AAC8" w14:textId="77777777" w:rsidR="00494EF1" w:rsidRPr="00494EF1" w:rsidRDefault="00494EF1" w:rsidP="00494EF1">
            <w:pPr>
              <w:spacing w:after="0" w:line="240" w:lineRule="auto"/>
              <w:jc w:val="both"/>
              <w:rPr>
                <w:color w:val="000000" w:themeColor="text1"/>
              </w:rPr>
            </w:pPr>
          </w:p>
          <w:p w14:paraId="6A1F9AA3" w14:textId="77777777" w:rsidR="00494EF1" w:rsidRPr="00E02192" w:rsidRDefault="00494EF1" w:rsidP="00494EF1">
            <w:pPr>
              <w:spacing w:after="0" w:line="240" w:lineRule="auto"/>
              <w:jc w:val="both"/>
              <w:rPr>
                <w:rFonts w:cs="Calibri"/>
                <w:i/>
                <w:color w:val="D60093"/>
              </w:rPr>
            </w:pPr>
            <w:r w:rsidRPr="00E02192">
              <w:rPr>
                <w:rFonts w:cs="Calibri"/>
                <w:i/>
                <w:color w:val="D60093"/>
              </w:rPr>
              <w:t>Les contraintes légales liés à la formation</w:t>
            </w:r>
          </w:p>
          <w:p w14:paraId="597C5334" w14:textId="77777777" w:rsidR="00494EF1" w:rsidRPr="00E02192" w:rsidRDefault="00494EF1" w:rsidP="00494EF1">
            <w:pPr>
              <w:spacing w:after="0" w:line="240" w:lineRule="auto"/>
              <w:jc w:val="both"/>
              <w:rPr>
                <w:rFonts w:cs="Calibri"/>
                <w:i/>
                <w:color w:val="D60093"/>
              </w:rPr>
            </w:pPr>
            <w:r w:rsidRPr="00E02192">
              <w:rPr>
                <w:rFonts w:cs="Calibri"/>
                <w:i/>
                <w:color w:val="D60093"/>
              </w:rPr>
              <w:t>L’obligation de formation de l’employeur</w:t>
            </w:r>
          </w:p>
          <w:p w14:paraId="1190D2A0" w14:textId="77777777" w:rsidR="00494EF1" w:rsidRPr="00E02192" w:rsidRDefault="00494EF1" w:rsidP="00494EF1">
            <w:pPr>
              <w:spacing w:after="0" w:line="240" w:lineRule="auto"/>
              <w:jc w:val="both"/>
              <w:rPr>
                <w:rFonts w:cs="Calibri"/>
                <w:i/>
                <w:color w:val="D60093"/>
              </w:rPr>
            </w:pPr>
            <w:r w:rsidRPr="00E02192">
              <w:rPr>
                <w:rFonts w:cs="Calibri"/>
                <w:i/>
                <w:color w:val="D60093"/>
              </w:rPr>
              <w:t>Le droit à la formation des collaborateurs</w:t>
            </w:r>
          </w:p>
          <w:p w14:paraId="7BED0AB4" w14:textId="77777777" w:rsidR="00494EF1" w:rsidRPr="00494EF1" w:rsidRDefault="00494EF1" w:rsidP="00494EF1">
            <w:pPr>
              <w:spacing w:after="0" w:line="240" w:lineRule="auto"/>
              <w:jc w:val="both"/>
              <w:rPr>
                <w:color w:val="000000" w:themeColor="text1"/>
              </w:rPr>
            </w:pPr>
          </w:p>
          <w:p w14:paraId="4FC09FA3" w14:textId="77777777" w:rsidR="00494EF1" w:rsidRPr="00494EF1" w:rsidRDefault="00494EF1" w:rsidP="00494EF1">
            <w:pPr>
              <w:spacing w:after="0" w:line="240" w:lineRule="auto"/>
              <w:jc w:val="both"/>
              <w:rPr>
                <w:color w:val="000000" w:themeColor="text1"/>
              </w:rPr>
            </w:pPr>
            <w:r w:rsidRPr="00494EF1">
              <w:rPr>
                <w:color w:val="000000" w:themeColor="text1"/>
              </w:rPr>
              <w:t>Les modalités de la formation</w:t>
            </w:r>
          </w:p>
          <w:p w14:paraId="2BB920FC" w14:textId="77777777" w:rsidR="00494EF1" w:rsidRPr="00494EF1" w:rsidRDefault="00494EF1" w:rsidP="00494EF1">
            <w:pPr>
              <w:spacing w:after="0" w:line="240" w:lineRule="auto"/>
              <w:jc w:val="both"/>
              <w:rPr>
                <w:color w:val="000000" w:themeColor="text1"/>
              </w:rPr>
            </w:pPr>
            <w:r w:rsidRPr="00494EF1">
              <w:rPr>
                <w:color w:val="000000" w:themeColor="text1"/>
              </w:rPr>
              <w:t>Les différents dispositifs : formation intra/inter entreprise ; formation assurée par l’entreprise ou un organisme extérieur ; e formation ; « coaching », etc.</w:t>
            </w:r>
          </w:p>
          <w:p w14:paraId="7833252E" w14:textId="77777777" w:rsidR="00494EF1" w:rsidRPr="00494EF1" w:rsidRDefault="00494EF1" w:rsidP="00494EF1">
            <w:pPr>
              <w:spacing w:after="0" w:line="240" w:lineRule="auto"/>
              <w:jc w:val="both"/>
              <w:rPr>
                <w:color w:val="000000" w:themeColor="text1"/>
              </w:rPr>
            </w:pPr>
            <w:r w:rsidRPr="00494EF1">
              <w:rPr>
                <w:color w:val="000000" w:themeColor="text1"/>
              </w:rPr>
              <w:t>Le plan de formation :  conception, budgétisation et mise en œuvre</w:t>
            </w:r>
          </w:p>
          <w:p w14:paraId="5D265A68" w14:textId="77777777" w:rsidR="00494EF1" w:rsidRPr="00494EF1" w:rsidRDefault="00494EF1" w:rsidP="00494EF1">
            <w:pPr>
              <w:spacing w:after="0" w:line="240" w:lineRule="auto"/>
              <w:jc w:val="both"/>
              <w:rPr>
                <w:color w:val="000000" w:themeColor="text1"/>
              </w:rPr>
            </w:pPr>
          </w:p>
          <w:p w14:paraId="23673BFF" w14:textId="77777777" w:rsidR="00494EF1" w:rsidRPr="00494EF1" w:rsidRDefault="00494EF1" w:rsidP="00494EF1">
            <w:pPr>
              <w:spacing w:after="0" w:line="240" w:lineRule="auto"/>
              <w:jc w:val="both"/>
              <w:rPr>
                <w:color w:val="000000" w:themeColor="text1"/>
              </w:rPr>
            </w:pPr>
            <w:r w:rsidRPr="00494EF1">
              <w:rPr>
                <w:color w:val="000000" w:themeColor="text1"/>
              </w:rPr>
              <w:t>Le suivi de la formation</w:t>
            </w:r>
          </w:p>
          <w:p w14:paraId="4A7574E9" w14:textId="77777777" w:rsidR="00494EF1" w:rsidRPr="00494EF1" w:rsidRDefault="00494EF1" w:rsidP="00494EF1">
            <w:pPr>
              <w:spacing w:after="0" w:line="240" w:lineRule="auto"/>
              <w:jc w:val="both"/>
              <w:rPr>
                <w:color w:val="000000" w:themeColor="text1"/>
              </w:rPr>
            </w:pPr>
            <w:r w:rsidRPr="00494EF1">
              <w:rPr>
                <w:color w:val="000000" w:themeColor="text1"/>
              </w:rPr>
              <w:t>Les techniques d’évaluation d’une action de formation : indicateurs, quantitatifs et qualitatifs, de mesure des retombées d’une action de formation</w:t>
            </w:r>
          </w:p>
        </w:tc>
      </w:tr>
      <w:tr w:rsidR="00494EF1" w:rsidRPr="00494EF1" w14:paraId="4A99D929" w14:textId="77777777" w:rsidTr="00494EF1">
        <w:tc>
          <w:tcPr>
            <w:tcW w:w="4111" w:type="dxa"/>
          </w:tcPr>
          <w:p w14:paraId="4C706314"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La gestion des conflits</w:t>
            </w:r>
          </w:p>
          <w:p w14:paraId="0E95DC65" w14:textId="77777777" w:rsidR="00494EF1" w:rsidRPr="00494EF1" w:rsidRDefault="00494EF1" w:rsidP="00494EF1">
            <w:pPr>
              <w:spacing w:after="0" w:line="240" w:lineRule="auto"/>
              <w:jc w:val="both"/>
              <w:rPr>
                <w:color w:val="000000" w:themeColor="text1"/>
              </w:rPr>
            </w:pPr>
          </w:p>
          <w:p w14:paraId="2634D846" w14:textId="77777777" w:rsidR="00494EF1" w:rsidRPr="00494EF1" w:rsidRDefault="00494EF1" w:rsidP="00494EF1">
            <w:pPr>
              <w:spacing w:after="0" w:line="240" w:lineRule="auto"/>
              <w:jc w:val="both"/>
              <w:rPr>
                <w:color w:val="000000" w:themeColor="text1"/>
              </w:rPr>
            </w:pPr>
          </w:p>
          <w:p w14:paraId="5459B724" w14:textId="77777777" w:rsidR="00494EF1" w:rsidRPr="00494EF1" w:rsidRDefault="00494EF1" w:rsidP="00494EF1">
            <w:pPr>
              <w:spacing w:after="0" w:line="240" w:lineRule="auto"/>
              <w:jc w:val="both"/>
              <w:rPr>
                <w:color w:val="000000" w:themeColor="text1"/>
              </w:rPr>
            </w:pPr>
          </w:p>
        </w:tc>
        <w:tc>
          <w:tcPr>
            <w:tcW w:w="10489" w:type="dxa"/>
          </w:tcPr>
          <w:p w14:paraId="10D3C562" w14:textId="77777777" w:rsidR="00494EF1" w:rsidRPr="00494EF1" w:rsidRDefault="00494EF1" w:rsidP="00494EF1">
            <w:pPr>
              <w:spacing w:after="0" w:line="240" w:lineRule="auto"/>
              <w:jc w:val="both"/>
              <w:rPr>
                <w:color w:val="000000" w:themeColor="text1"/>
              </w:rPr>
            </w:pPr>
            <w:r w:rsidRPr="00494EF1">
              <w:rPr>
                <w:color w:val="000000" w:themeColor="text1"/>
              </w:rPr>
              <w:t>Les types de conflits</w:t>
            </w:r>
          </w:p>
          <w:p w14:paraId="27480A42" w14:textId="77777777" w:rsidR="00494EF1" w:rsidRPr="00494EF1" w:rsidRDefault="00494EF1" w:rsidP="00494EF1">
            <w:pPr>
              <w:spacing w:after="0" w:line="240" w:lineRule="auto"/>
              <w:jc w:val="both"/>
              <w:rPr>
                <w:color w:val="000000" w:themeColor="text1"/>
              </w:rPr>
            </w:pPr>
            <w:r w:rsidRPr="00494EF1">
              <w:rPr>
                <w:color w:val="000000" w:themeColor="text1"/>
              </w:rPr>
              <w:t>Les principales sources de conflits (interpersonnels, organisationnels, etc.)</w:t>
            </w:r>
          </w:p>
          <w:p w14:paraId="11BE4EA9" w14:textId="77777777" w:rsidR="00494EF1" w:rsidRPr="00494EF1" w:rsidRDefault="00494EF1" w:rsidP="00494EF1">
            <w:pPr>
              <w:spacing w:after="0" w:line="240" w:lineRule="auto"/>
              <w:jc w:val="both"/>
              <w:rPr>
                <w:color w:val="000000" w:themeColor="text1"/>
              </w:rPr>
            </w:pPr>
          </w:p>
          <w:p w14:paraId="4CDC6436" w14:textId="77777777" w:rsidR="00494EF1" w:rsidRPr="00494EF1" w:rsidRDefault="00494EF1" w:rsidP="00494EF1">
            <w:pPr>
              <w:spacing w:after="0" w:line="240" w:lineRule="auto"/>
              <w:jc w:val="both"/>
              <w:rPr>
                <w:color w:val="000000" w:themeColor="text1"/>
              </w:rPr>
            </w:pPr>
            <w:r w:rsidRPr="00494EF1">
              <w:rPr>
                <w:color w:val="000000" w:themeColor="text1"/>
              </w:rPr>
              <w:t>Les techniques de gestion des conflits</w:t>
            </w:r>
          </w:p>
          <w:p w14:paraId="3DFD5C03" w14:textId="77777777" w:rsidR="00494EF1" w:rsidRPr="00494EF1" w:rsidRDefault="00494EF1" w:rsidP="00494EF1">
            <w:pPr>
              <w:spacing w:after="0" w:line="240" w:lineRule="auto"/>
              <w:jc w:val="both"/>
              <w:rPr>
                <w:color w:val="000000" w:themeColor="text1"/>
              </w:rPr>
            </w:pPr>
            <w:r w:rsidRPr="00494EF1">
              <w:rPr>
                <w:color w:val="000000" w:themeColor="text1"/>
              </w:rPr>
              <w:t>Les principales stratégies de gestion des conflits (évitement, désamorçage, affrontement)</w:t>
            </w:r>
          </w:p>
          <w:p w14:paraId="3BBFA440" w14:textId="77777777" w:rsidR="00494EF1" w:rsidRPr="00494EF1" w:rsidRDefault="00494EF1" w:rsidP="00494EF1">
            <w:pPr>
              <w:spacing w:after="0" w:line="240" w:lineRule="auto"/>
              <w:jc w:val="both"/>
              <w:rPr>
                <w:color w:val="000000" w:themeColor="text1"/>
              </w:rPr>
            </w:pPr>
            <w:r w:rsidRPr="00494EF1">
              <w:rPr>
                <w:color w:val="000000" w:themeColor="text1"/>
              </w:rPr>
              <w:t>Les différentes techniques et outils permettant la résolution des conflits</w:t>
            </w:r>
          </w:p>
          <w:p w14:paraId="420CF7D4" w14:textId="77777777" w:rsidR="00494EF1" w:rsidRPr="00494EF1" w:rsidRDefault="00494EF1" w:rsidP="00494EF1">
            <w:pPr>
              <w:spacing w:after="0" w:line="240" w:lineRule="auto"/>
              <w:jc w:val="both"/>
              <w:rPr>
                <w:color w:val="000000" w:themeColor="text1"/>
              </w:rPr>
            </w:pPr>
            <w:r w:rsidRPr="00494EF1">
              <w:rPr>
                <w:color w:val="000000" w:themeColor="text1"/>
              </w:rPr>
              <w:t>Les moyens à mettre en œuvre : l’observation, l’écoute active, les techniques de reformulation, l’altérité et l’empathie</w:t>
            </w:r>
          </w:p>
          <w:p w14:paraId="068C4BEC" w14:textId="77777777" w:rsidR="00494EF1" w:rsidRPr="00494EF1" w:rsidRDefault="00494EF1" w:rsidP="00494EF1">
            <w:pPr>
              <w:spacing w:after="0" w:line="240" w:lineRule="auto"/>
              <w:jc w:val="both"/>
              <w:rPr>
                <w:color w:val="000000" w:themeColor="text1"/>
              </w:rPr>
            </w:pPr>
            <w:r w:rsidRPr="00494EF1">
              <w:rPr>
                <w:color w:val="000000" w:themeColor="text1"/>
              </w:rPr>
              <w:t>Le manageur dans une relation négociée</w:t>
            </w:r>
          </w:p>
          <w:p w14:paraId="4F495049" w14:textId="77777777" w:rsidR="00494EF1" w:rsidRPr="00494EF1" w:rsidRDefault="00494EF1" w:rsidP="00494EF1">
            <w:pPr>
              <w:spacing w:after="0" w:line="240" w:lineRule="auto"/>
              <w:jc w:val="both"/>
              <w:rPr>
                <w:color w:val="000000" w:themeColor="text1"/>
              </w:rPr>
            </w:pPr>
          </w:p>
        </w:tc>
      </w:tr>
      <w:tr w:rsidR="00494EF1" w:rsidRPr="00494EF1" w14:paraId="217E8626" w14:textId="77777777" w:rsidTr="00494EF1">
        <w:tc>
          <w:tcPr>
            <w:tcW w:w="4111" w:type="dxa"/>
          </w:tcPr>
          <w:p w14:paraId="0B2CCF2B" w14:textId="77777777" w:rsidR="00494EF1" w:rsidRPr="00494EF1" w:rsidRDefault="00494EF1" w:rsidP="00494EF1">
            <w:pPr>
              <w:spacing w:after="0" w:line="240" w:lineRule="auto"/>
              <w:jc w:val="both"/>
              <w:rPr>
                <w:color w:val="000000" w:themeColor="text1"/>
              </w:rPr>
            </w:pPr>
            <w:r w:rsidRPr="00494EF1">
              <w:rPr>
                <w:color w:val="000000" w:themeColor="text1"/>
              </w:rPr>
              <w:t>La gestion des risques psycho-sociaux</w:t>
            </w:r>
          </w:p>
          <w:p w14:paraId="51144CDB" w14:textId="77777777" w:rsidR="00494EF1" w:rsidRPr="00494EF1" w:rsidRDefault="00494EF1" w:rsidP="00494EF1">
            <w:pPr>
              <w:spacing w:after="0" w:line="240" w:lineRule="auto"/>
              <w:jc w:val="both"/>
              <w:rPr>
                <w:color w:val="000000" w:themeColor="text1"/>
              </w:rPr>
            </w:pPr>
          </w:p>
        </w:tc>
        <w:tc>
          <w:tcPr>
            <w:tcW w:w="10489" w:type="dxa"/>
          </w:tcPr>
          <w:p w14:paraId="12D55C28" w14:textId="77777777" w:rsidR="00494EF1" w:rsidRPr="00494EF1" w:rsidRDefault="00494EF1" w:rsidP="00494EF1">
            <w:pPr>
              <w:spacing w:after="0" w:line="240" w:lineRule="auto"/>
              <w:jc w:val="both"/>
              <w:rPr>
                <w:color w:val="000000" w:themeColor="text1"/>
              </w:rPr>
            </w:pPr>
            <w:r w:rsidRPr="00494EF1">
              <w:rPr>
                <w:color w:val="000000" w:themeColor="text1"/>
              </w:rPr>
              <w:t>Les indicateurs sociaux</w:t>
            </w:r>
          </w:p>
          <w:p w14:paraId="1E3D21E8" w14:textId="77777777" w:rsidR="00494EF1" w:rsidRPr="00494EF1" w:rsidRDefault="00494EF1" w:rsidP="00494EF1">
            <w:pPr>
              <w:spacing w:after="0" w:line="240" w:lineRule="auto"/>
              <w:jc w:val="both"/>
              <w:rPr>
                <w:color w:val="000000" w:themeColor="text1"/>
              </w:rPr>
            </w:pPr>
            <w:r w:rsidRPr="00494EF1">
              <w:rPr>
                <w:color w:val="000000" w:themeColor="text1"/>
              </w:rPr>
              <w:t xml:space="preserve">Les objectifs du contrôle sociale : informer, diagnostiquer, prévoir, gérer, piloter et assurer le </w:t>
            </w:r>
            <w:proofErr w:type="spellStart"/>
            <w:r w:rsidRPr="00494EF1">
              <w:rPr>
                <w:color w:val="000000" w:themeColor="text1"/>
              </w:rPr>
              <w:t>reporting</w:t>
            </w:r>
            <w:proofErr w:type="spellEnd"/>
          </w:p>
          <w:p w14:paraId="2A4A7DAD" w14:textId="77777777" w:rsidR="00494EF1" w:rsidRPr="00494EF1" w:rsidRDefault="00494EF1" w:rsidP="00494EF1">
            <w:pPr>
              <w:pBdr>
                <w:top w:val="nil"/>
                <w:left w:val="nil"/>
                <w:bottom w:val="nil"/>
                <w:right w:val="nil"/>
                <w:between w:val="nil"/>
              </w:pBdr>
              <w:spacing w:after="0" w:line="240" w:lineRule="auto"/>
              <w:jc w:val="both"/>
              <w:rPr>
                <w:color w:val="000000" w:themeColor="text1"/>
              </w:rPr>
            </w:pPr>
            <w:r w:rsidRPr="00494EF1">
              <w:rPr>
                <w:color w:val="000000" w:themeColor="text1"/>
              </w:rPr>
              <w:t>Les indicateurs sociaux utiles au manageur pour manager l’équipe, piloter l’unité commerciale et leur évolution : ratios de productivité, ratios de dépenses en ressources humaines, turnover, taux de démission, mesure de stabilité, absentéisme, conflictualité, accidents du travail, etc.</w:t>
            </w:r>
          </w:p>
          <w:p w14:paraId="06C418C3" w14:textId="77777777" w:rsidR="00494EF1" w:rsidRPr="00494EF1" w:rsidRDefault="00494EF1" w:rsidP="00494EF1">
            <w:pPr>
              <w:spacing w:after="0" w:line="240" w:lineRule="auto"/>
              <w:jc w:val="both"/>
              <w:rPr>
                <w:color w:val="000000" w:themeColor="text1"/>
              </w:rPr>
            </w:pPr>
          </w:p>
          <w:p w14:paraId="2BF6AC2F" w14:textId="77777777" w:rsidR="00494EF1" w:rsidRPr="00494EF1" w:rsidRDefault="00494EF1" w:rsidP="00494EF1">
            <w:pPr>
              <w:spacing w:after="0" w:line="240" w:lineRule="auto"/>
              <w:jc w:val="both"/>
              <w:rPr>
                <w:color w:val="000000" w:themeColor="text1"/>
              </w:rPr>
            </w:pPr>
            <w:r w:rsidRPr="00494EF1">
              <w:rPr>
                <w:color w:val="000000" w:themeColor="text1"/>
              </w:rPr>
              <w:t>La gestion du stress au travail</w:t>
            </w:r>
          </w:p>
          <w:p w14:paraId="31385B85" w14:textId="77777777" w:rsidR="00494EF1" w:rsidRPr="00494EF1" w:rsidRDefault="00494EF1" w:rsidP="00494EF1">
            <w:pPr>
              <w:spacing w:after="0" w:line="240" w:lineRule="auto"/>
              <w:jc w:val="both"/>
              <w:rPr>
                <w:color w:val="000000" w:themeColor="text1"/>
              </w:rPr>
            </w:pPr>
            <w:r w:rsidRPr="00494EF1">
              <w:rPr>
                <w:color w:val="000000" w:themeColor="text1"/>
              </w:rPr>
              <w:t>Les signes et facteurs de stress au travail</w:t>
            </w:r>
          </w:p>
          <w:p w14:paraId="5A1BCBFD" w14:textId="77777777" w:rsidR="00494EF1" w:rsidRPr="00494EF1" w:rsidRDefault="00494EF1" w:rsidP="00494EF1">
            <w:pPr>
              <w:spacing w:after="0" w:line="240" w:lineRule="auto"/>
              <w:jc w:val="both"/>
              <w:rPr>
                <w:color w:val="000000" w:themeColor="text1"/>
              </w:rPr>
            </w:pPr>
            <w:r w:rsidRPr="00494EF1">
              <w:rPr>
                <w:color w:val="000000" w:themeColor="text1"/>
              </w:rPr>
              <w:t>L’incidence du type de management</w:t>
            </w:r>
          </w:p>
          <w:p w14:paraId="776D9E78" w14:textId="77777777" w:rsidR="00494EF1" w:rsidRPr="00494EF1" w:rsidRDefault="00494EF1" w:rsidP="00494EF1">
            <w:pPr>
              <w:spacing w:after="0" w:line="240" w:lineRule="auto"/>
              <w:jc w:val="both"/>
              <w:rPr>
                <w:color w:val="000000" w:themeColor="text1"/>
              </w:rPr>
            </w:pPr>
            <w:r w:rsidRPr="00494EF1">
              <w:rPr>
                <w:color w:val="000000" w:themeColor="text1"/>
              </w:rPr>
              <w:t>Les indicateurs de situations difficiles : agressions et violence externe ; risques psychosociaux ; stress au travail ; harcèlement et violence interne ; épuisement professionnel (Burn Out) ; chute de motivation (Brown Out)</w:t>
            </w:r>
          </w:p>
          <w:p w14:paraId="43656192" w14:textId="77777777" w:rsidR="00494EF1" w:rsidRPr="00494EF1" w:rsidRDefault="00494EF1" w:rsidP="00494EF1">
            <w:pPr>
              <w:spacing w:after="0" w:line="240" w:lineRule="auto"/>
              <w:jc w:val="both"/>
              <w:rPr>
                <w:color w:val="000000" w:themeColor="text1"/>
              </w:rPr>
            </w:pPr>
            <w:r w:rsidRPr="00494EF1">
              <w:rPr>
                <w:color w:val="000000" w:themeColor="text1"/>
              </w:rPr>
              <w:t>Les actions de remédiation ou d’amélioration ; les réponses aux situation difficiles.</w:t>
            </w:r>
          </w:p>
          <w:p w14:paraId="235D012C" w14:textId="77777777" w:rsidR="00494EF1" w:rsidRPr="00494EF1" w:rsidRDefault="00494EF1" w:rsidP="00494EF1">
            <w:pPr>
              <w:spacing w:after="0" w:line="240" w:lineRule="auto"/>
              <w:jc w:val="both"/>
              <w:rPr>
                <w:color w:val="000000" w:themeColor="text1"/>
              </w:rPr>
            </w:pPr>
            <w:r w:rsidRPr="00494EF1">
              <w:rPr>
                <w:color w:val="000000" w:themeColor="text1"/>
              </w:rPr>
              <w:t>Le management bienveillant</w:t>
            </w:r>
          </w:p>
          <w:p w14:paraId="4202B460" w14:textId="77777777" w:rsidR="00494EF1" w:rsidRPr="00494EF1" w:rsidRDefault="00494EF1" w:rsidP="00494EF1">
            <w:pPr>
              <w:spacing w:after="0" w:line="240" w:lineRule="auto"/>
              <w:jc w:val="both"/>
              <w:rPr>
                <w:color w:val="000000" w:themeColor="text1"/>
              </w:rPr>
            </w:pPr>
          </w:p>
          <w:p w14:paraId="7CCE93F9" w14:textId="77777777" w:rsidR="00494EF1" w:rsidRPr="00494EF1" w:rsidRDefault="00494EF1" w:rsidP="00494EF1">
            <w:pPr>
              <w:spacing w:after="0" w:line="240" w:lineRule="auto"/>
              <w:jc w:val="both"/>
              <w:rPr>
                <w:color w:val="000000" w:themeColor="text1"/>
              </w:rPr>
            </w:pPr>
            <w:r w:rsidRPr="00494EF1">
              <w:rPr>
                <w:color w:val="000000" w:themeColor="text1"/>
              </w:rPr>
              <w:t>La gestion des comportements critiques dans le respect des contraintes légales et réglementaires : l’obligation de sécurité</w:t>
            </w:r>
          </w:p>
          <w:p w14:paraId="1C0FB424" w14:textId="77777777" w:rsidR="00494EF1" w:rsidRPr="00494EF1" w:rsidRDefault="00494EF1" w:rsidP="00494EF1">
            <w:pPr>
              <w:spacing w:after="0" w:line="240" w:lineRule="auto"/>
              <w:jc w:val="both"/>
              <w:rPr>
                <w:color w:val="000000" w:themeColor="text1"/>
              </w:rPr>
            </w:pPr>
          </w:p>
        </w:tc>
      </w:tr>
      <w:tr w:rsidR="00494EF1" w:rsidRPr="00494EF1" w14:paraId="48E78A7A" w14:textId="77777777" w:rsidTr="00494EF1">
        <w:tc>
          <w:tcPr>
            <w:tcW w:w="4111" w:type="dxa"/>
          </w:tcPr>
          <w:p w14:paraId="0DED14B5" w14:textId="77777777" w:rsidR="00494EF1" w:rsidRPr="00494EF1" w:rsidRDefault="00494EF1" w:rsidP="00494EF1">
            <w:pPr>
              <w:spacing w:after="0" w:line="240" w:lineRule="auto"/>
              <w:jc w:val="both"/>
              <w:rPr>
                <w:color w:val="000000" w:themeColor="text1"/>
              </w:rPr>
            </w:pPr>
            <w:r w:rsidRPr="00494EF1">
              <w:rPr>
                <w:color w:val="000000" w:themeColor="text1"/>
              </w:rPr>
              <w:lastRenderedPageBreak/>
              <w:t>La gestion de crise</w:t>
            </w:r>
          </w:p>
          <w:p w14:paraId="5B40205F" w14:textId="77777777" w:rsidR="00494EF1" w:rsidRPr="00494EF1" w:rsidRDefault="00494EF1" w:rsidP="00494EF1">
            <w:pPr>
              <w:spacing w:after="0" w:line="240" w:lineRule="auto"/>
              <w:jc w:val="both"/>
              <w:rPr>
                <w:color w:val="000000" w:themeColor="text1"/>
              </w:rPr>
            </w:pPr>
          </w:p>
        </w:tc>
        <w:tc>
          <w:tcPr>
            <w:tcW w:w="10489" w:type="dxa"/>
          </w:tcPr>
          <w:p w14:paraId="4626B454" w14:textId="77777777" w:rsidR="00494EF1" w:rsidRPr="00494EF1" w:rsidRDefault="00494EF1" w:rsidP="00494EF1">
            <w:pPr>
              <w:spacing w:after="0" w:line="240" w:lineRule="auto"/>
              <w:jc w:val="both"/>
              <w:rPr>
                <w:color w:val="000000" w:themeColor="text1"/>
              </w:rPr>
            </w:pPr>
            <w:r w:rsidRPr="00494EF1">
              <w:rPr>
                <w:color w:val="000000" w:themeColor="text1"/>
              </w:rPr>
              <w:t>Les situations de crise</w:t>
            </w:r>
          </w:p>
          <w:p w14:paraId="55E0CFDC" w14:textId="77777777" w:rsidR="00494EF1" w:rsidRPr="00494EF1" w:rsidRDefault="00494EF1" w:rsidP="00494EF1">
            <w:pPr>
              <w:spacing w:after="0" w:line="240" w:lineRule="auto"/>
              <w:jc w:val="both"/>
              <w:rPr>
                <w:color w:val="000000" w:themeColor="text1"/>
              </w:rPr>
            </w:pPr>
            <w:r w:rsidRPr="00494EF1">
              <w:rPr>
                <w:color w:val="000000" w:themeColor="text1"/>
              </w:rPr>
              <w:t>La diversité des risques (économiques, techniques, technologiques, humains, réglementaires, environnementaux, sociaux, informationnels, informatiques, etc.)</w:t>
            </w:r>
          </w:p>
          <w:p w14:paraId="2C93007E" w14:textId="77777777" w:rsidR="00494EF1" w:rsidRPr="00494EF1" w:rsidRDefault="00494EF1" w:rsidP="00494EF1">
            <w:pPr>
              <w:spacing w:after="0" w:line="240" w:lineRule="auto"/>
              <w:jc w:val="both"/>
              <w:rPr>
                <w:color w:val="000000" w:themeColor="text1"/>
              </w:rPr>
            </w:pPr>
            <w:r w:rsidRPr="00494EF1">
              <w:rPr>
                <w:color w:val="000000" w:themeColor="text1"/>
              </w:rPr>
              <w:t>Les conséquences des situations de crise</w:t>
            </w:r>
          </w:p>
          <w:p w14:paraId="1E86A5E3" w14:textId="77777777" w:rsidR="00494EF1" w:rsidRPr="00494EF1" w:rsidRDefault="00494EF1" w:rsidP="00494EF1">
            <w:pPr>
              <w:spacing w:after="0" w:line="240" w:lineRule="auto"/>
              <w:jc w:val="both"/>
              <w:rPr>
                <w:color w:val="000000" w:themeColor="text1"/>
              </w:rPr>
            </w:pPr>
            <w:r w:rsidRPr="00494EF1">
              <w:rPr>
                <w:color w:val="000000" w:themeColor="text1"/>
              </w:rPr>
              <w:t>L’anticipation : identification des activités critiques, des outils de gestion (informations indispensables, premières mesures à prendre, stratégie de communication, etc)</w:t>
            </w:r>
          </w:p>
          <w:p w14:paraId="2E96AD36" w14:textId="77777777" w:rsidR="00494EF1" w:rsidRPr="00494EF1" w:rsidRDefault="00494EF1" w:rsidP="00494EF1">
            <w:pPr>
              <w:spacing w:after="0" w:line="240" w:lineRule="auto"/>
              <w:jc w:val="both"/>
              <w:rPr>
                <w:color w:val="000000" w:themeColor="text1"/>
              </w:rPr>
            </w:pPr>
          </w:p>
          <w:p w14:paraId="657FCFD9" w14:textId="77777777" w:rsidR="00494EF1" w:rsidRPr="00494EF1" w:rsidRDefault="00494EF1" w:rsidP="00494EF1">
            <w:pPr>
              <w:spacing w:after="0" w:line="240" w:lineRule="auto"/>
              <w:jc w:val="both"/>
              <w:rPr>
                <w:color w:val="000000" w:themeColor="text1"/>
              </w:rPr>
            </w:pPr>
            <w:r w:rsidRPr="00494EF1">
              <w:rPr>
                <w:color w:val="000000" w:themeColor="text1"/>
              </w:rPr>
              <w:t>Le plan opérationnel de gestion de crise</w:t>
            </w:r>
          </w:p>
          <w:p w14:paraId="7355B2DD" w14:textId="77777777" w:rsidR="00494EF1" w:rsidRPr="00494EF1" w:rsidRDefault="00494EF1" w:rsidP="00494EF1">
            <w:pPr>
              <w:spacing w:after="0" w:line="240" w:lineRule="auto"/>
              <w:jc w:val="both"/>
              <w:rPr>
                <w:color w:val="000000" w:themeColor="text1"/>
              </w:rPr>
            </w:pPr>
            <w:r w:rsidRPr="00494EF1">
              <w:rPr>
                <w:color w:val="000000" w:themeColor="text1"/>
              </w:rPr>
              <w:t>La clarification de la situation</w:t>
            </w:r>
          </w:p>
          <w:p w14:paraId="39BBABDE" w14:textId="77777777" w:rsidR="00494EF1" w:rsidRPr="00494EF1" w:rsidRDefault="00494EF1" w:rsidP="00494EF1">
            <w:pPr>
              <w:spacing w:after="0" w:line="240" w:lineRule="auto"/>
              <w:jc w:val="both"/>
              <w:rPr>
                <w:color w:val="000000" w:themeColor="text1"/>
              </w:rPr>
            </w:pPr>
            <w:r w:rsidRPr="00494EF1">
              <w:rPr>
                <w:color w:val="000000" w:themeColor="text1"/>
              </w:rPr>
              <w:t>Les évolutions à prévoir et/ou possibles</w:t>
            </w:r>
          </w:p>
          <w:p w14:paraId="6FBD268F" w14:textId="77777777" w:rsidR="00494EF1" w:rsidRPr="00494EF1" w:rsidRDefault="00494EF1" w:rsidP="00494EF1">
            <w:pPr>
              <w:spacing w:after="0" w:line="240" w:lineRule="auto"/>
              <w:jc w:val="both"/>
              <w:rPr>
                <w:color w:val="000000" w:themeColor="text1"/>
              </w:rPr>
            </w:pPr>
            <w:r w:rsidRPr="00494EF1">
              <w:rPr>
                <w:color w:val="000000" w:themeColor="text1"/>
              </w:rPr>
              <w:t>Les actions à mettre en œuvre.</w:t>
            </w:r>
          </w:p>
          <w:p w14:paraId="467D1DA8" w14:textId="77777777" w:rsidR="00494EF1" w:rsidRPr="00494EF1" w:rsidRDefault="00494EF1" w:rsidP="00494EF1">
            <w:pPr>
              <w:spacing w:after="0" w:line="240" w:lineRule="auto"/>
              <w:jc w:val="both"/>
              <w:rPr>
                <w:color w:val="000000" w:themeColor="text1"/>
              </w:rPr>
            </w:pPr>
          </w:p>
        </w:tc>
      </w:tr>
      <w:tr w:rsidR="00494EF1" w:rsidRPr="00494EF1" w14:paraId="1CBC428A" w14:textId="77777777" w:rsidTr="00494EF1">
        <w:tc>
          <w:tcPr>
            <w:tcW w:w="4111" w:type="dxa"/>
          </w:tcPr>
          <w:p w14:paraId="75B838FE" w14:textId="77777777" w:rsidR="00494EF1" w:rsidRPr="00494EF1" w:rsidRDefault="00494EF1" w:rsidP="00494EF1">
            <w:pPr>
              <w:spacing w:after="0" w:line="240" w:lineRule="auto"/>
              <w:jc w:val="both"/>
              <w:rPr>
                <w:color w:val="000000" w:themeColor="text1"/>
              </w:rPr>
            </w:pPr>
            <w:r w:rsidRPr="00494EF1">
              <w:rPr>
                <w:color w:val="000000" w:themeColor="text1"/>
              </w:rPr>
              <w:t>Les performances individuelles et collectives</w:t>
            </w:r>
          </w:p>
          <w:p w14:paraId="376F5DD6" w14:textId="77777777" w:rsidR="00494EF1" w:rsidRPr="00494EF1" w:rsidRDefault="00494EF1" w:rsidP="00494EF1">
            <w:pPr>
              <w:spacing w:after="0" w:line="240" w:lineRule="auto"/>
              <w:jc w:val="both"/>
              <w:rPr>
                <w:color w:val="000000" w:themeColor="text1"/>
              </w:rPr>
            </w:pPr>
          </w:p>
        </w:tc>
        <w:tc>
          <w:tcPr>
            <w:tcW w:w="10489" w:type="dxa"/>
          </w:tcPr>
          <w:p w14:paraId="466FB46E" w14:textId="77777777" w:rsidR="00494EF1" w:rsidRPr="00494EF1" w:rsidRDefault="00494EF1" w:rsidP="00494EF1">
            <w:pPr>
              <w:spacing w:after="0" w:line="240" w:lineRule="auto"/>
              <w:jc w:val="both"/>
              <w:rPr>
                <w:color w:val="000000" w:themeColor="text1"/>
              </w:rPr>
            </w:pPr>
            <w:r w:rsidRPr="00494EF1">
              <w:rPr>
                <w:color w:val="000000" w:themeColor="text1"/>
              </w:rPr>
              <w:t>Les principaux indicateurs du tableau de bord</w:t>
            </w:r>
          </w:p>
          <w:p w14:paraId="4669CA0F" w14:textId="77777777" w:rsidR="00494EF1" w:rsidRPr="00494EF1" w:rsidRDefault="00494EF1" w:rsidP="00494EF1">
            <w:pPr>
              <w:spacing w:after="0" w:line="240" w:lineRule="auto"/>
              <w:jc w:val="both"/>
              <w:rPr>
                <w:color w:val="000000" w:themeColor="text1"/>
              </w:rPr>
            </w:pPr>
            <w:r w:rsidRPr="00494EF1">
              <w:rPr>
                <w:color w:val="000000" w:themeColor="text1"/>
              </w:rPr>
              <w:t>Les indicateurs de performance individuelle et collective</w:t>
            </w:r>
          </w:p>
          <w:p w14:paraId="63798314" w14:textId="77777777" w:rsidR="00494EF1" w:rsidRPr="00494EF1" w:rsidRDefault="00494EF1" w:rsidP="00494EF1">
            <w:pPr>
              <w:spacing w:after="0" w:line="240" w:lineRule="auto"/>
              <w:jc w:val="both"/>
              <w:rPr>
                <w:color w:val="000000" w:themeColor="text1"/>
              </w:rPr>
            </w:pPr>
          </w:p>
          <w:p w14:paraId="47A68A1B" w14:textId="77777777" w:rsidR="00494EF1" w:rsidRPr="00494EF1" w:rsidRDefault="00494EF1" w:rsidP="00494EF1">
            <w:pPr>
              <w:spacing w:after="0" w:line="240" w:lineRule="auto"/>
              <w:jc w:val="both"/>
              <w:rPr>
                <w:color w:val="000000" w:themeColor="text1"/>
              </w:rPr>
            </w:pPr>
            <w:r w:rsidRPr="00494EF1">
              <w:rPr>
                <w:color w:val="000000" w:themeColor="text1"/>
              </w:rPr>
              <w:t>L’analyse des performances</w:t>
            </w:r>
          </w:p>
          <w:p w14:paraId="5B0D009A" w14:textId="77777777" w:rsidR="00494EF1" w:rsidRPr="00494EF1" w:rsidRDefault="00494EF1" w:rsidP="00494EF1">
            <w:pPr>
              <w:spacing w:after="0" w:line="240" w:lineRule="auto"/>
              <w:jc w:val="both"/>
              <w:rPr>
                <w:color w:val="000000" w:themeColor="text1"/>
              </w:rPr>
            </w:pPr>
            <w:r w:rsidRPr="00494EF1">
              <w:rPr>
                <w:color w:val="000000" w:themeColor="text1"/>
              </w:rPr>
              <w:t>Les différentes techniques d’évaluation du potentiel</w:t>
            </w:r>
          </w:p>
          <w:p w14:paraId="1CDD0923" w14:textId="77777777" w:rsidR="00494EF1" w:rsidRPr="00494EF1" w:rsidRDefault="00494EF1" w:rsidP="00494EF1">
            <w:pPr>
              <w:spacing w:after="0" w:line="240" w:lineRule="auto"/>
              <w:jc w:val="both"/>
              <w:rPr>
                <w:color w:val="000000" w:themeColor="text1"/>
              </w:rPr>
            </w:pPr>
          </w:p>
          <w:p w14:paraId="66B43A7C" w14:textId="77777777" w:rsidR="00494EF1" w:rsidRPr="00494EF1" w:rsidRDefault="00494EF1" w:rsidP="00494EF1">
            <w:pPr>
              <w:spacing w:after="0" w:line="240" w:lineRule="auto"/>
              <w:jc w:val="both"/>
              <w:rPr>
                <w:color w:val="000000" w:themeColor="text1"/>
              </w:rPr>
            </w:pPr>
            <w:r w:rsidRPr="00494EF1">
              <w:rPr>
                <w:color w:val="000000" w:themeColor="text1"/>
              </w:rPr>
              <w:t>Les actions de remédiation ou d’amélioration</w:t>
            </w:r>
          </w:p>
          <w:p w14:paraId="2B349EC9" w14:textId="77777777" w:rsidR="00494EF1" w:rsidRPr="00494EF1" w:rsidRDefault="00494EF1" w:rsidP="00494EF1">
            <w:pPr>
              <w:spacing w:after="0" w:line="240" w:lineRule="auto"/>
              <w:jc w:val="both"/>
              <w:rPr>
                <w:color w:val="000000" w:themeColor="text1"/>
              </w:rPr>
            </w:pPr>
          </w:p>
        </w:tc>
      </w:tr>
    </w:tbl>
    <w:p w14:paraId="7D51607A" w14:textId="77777777" w:rsidR="00494EF1" w:rsidRPr="00494EF1" w:rsidRDefault="00494EF1" w:rsidP="00494EF1">
      <w:pPr>
        <w:spacing w:after="0" w:line="240" w:lineRule="auto"/>
        <w:jc w:val="both"/>
        <w:rPr>
          <w:color w:val="000000" w:themeColor="text1"/>
        </w:rPr>
      </w:pPr>
    </w:p>
    <w:p w14:paraId="16EECFD6" w14:textId="77777777" w:rsidR="001338F9" w:rsidRDefault="001338F9" w:rsidP="001338F9">
      <w:pPr>
        <w:spacing w:after="0"/>
        <w:rPr>
          <w:b/>
          <w:i/>
        </w:rPr>
      </w:pPr>
    </w:p>
    <w:p w14:paraId="62A7FD3D" w14:textId="77777777" w:rsidR="001338F9" w:rsidRDefault="001338F9" w:rsidP="001338F9">
      <w:pPr>
        <w:spacing w:after="0"/>
      </w:pPr>
    </w:p>
    <w:p w14:paraId="55A9E381" w14:textId="77777777" w:rsidR="001338F9" w:rsidRPr="001338F9" w:rsidRDefault="001338F9" w:rsidP="001338F9">
      <w:pPr>
        <w:tabs>
          <w:tab w:val="left" w:pos="4029"/>
        </w:tabs>
        <w:rPr>
          <w:rFonts w:cs="Calibri"/>
        </w:rPr>
      </w:pPr>
    </w:p>
    <w:sectPr w:rsidR="001338F9" w:rsidRPr="001338F9" w:rsidSect="00697954">
      <w:footnotePr>
        <w:numRestart w:val="eachSect"/>
      </w:footnotePr>
      <w:pgSz w:w="16838" w:h="11906" w:orient="landscape"/>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C750" w14:textId="77777777" w:rsidR="00B7376C" w:rsidRDefault="00B7376C" w:rsidP="008C319A">
      <w:pPr>
        <w:spacing w:after="0" w:line="240" w:lineRule="auto"/>
      </w:pPr>
      <w:r>
        <w:separator/>
      </w:r>
    </w:p>
  </w:endnote>
  <w:endnote w:type="continuationSeparator" w:id="0">
    <w:p w14:paraId="008237B7" w14:textId="77777777" w:rsidR="00B7376C" w:rsidRDefault="00B7376C" w:rsidP="008C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83B8" w14:textId="77777777" w:rsidR="00B7376C" w:rsidRDefault="00B7376C" w:rsidP="008C319A">
      <w:pPr>
        <w:spacing w:after="0" w:line="240" w:lineRule="auto"/>
      </w:pPr>
      <w:r>
        <w:separator/>
      </w:r>
    </w:p>
  </w:footnote>
  <w:footnote w:type="continuationSeparator" w:id="0">
    <w:p w14:paraId="28417258" w14:textId="77777777" w:rsidR="00B7376C" w:rsidRDefault="00B7376C" w:rsidP="008C3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146"/>
    <w:multiLevelType w:val="hybridMultilevel"/>
    <w:tmpl w:val="CEA887D4"/>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55D58"/>
    <w:multiLevelType w:val="hybridMultilevel"/>
    <w:tmpl w:val="67F6A21C"/>
    <w:lvl w:ilvl="0" w:tplc="31EC88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720FF2"/>
    <w:multiLevelType w:val="hybridMultilevel"/>
    <w:tmpl w:val="B2363ED6"/>
    <w:lvl w:ilvl="0" w:tplc="31EC88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E63CC7"/>
    <w:multiLevelType w:val="hybridMultilevel"/>
    <w:tmpl w:val="A0F6A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F0846"/>
    <w:multiLevelType w:val="hybridMultilevel"/>
    <w:tmpl w:val="2D5446BE"/>
    <w:lvl w:ilvl="0" w:tplc="31EC88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21466E"/>
    <w:multiLevelType w:val="hybridMultilevel"/>
    <w:tmpl w:val="EA7AD67C"/>
    <w:lvl w:ilvl="0" w:tplc="9522DD22">
      <w:numFmt w:val="bullet"/>
      <w:lvlText w:val="-"/>
      <w:lvlJc w:val="left"/>
      <w:pPr>
        <w:ind w:left="465" w:hanging="360"/>
      </w:pPr>
      <w:rPr>
        <w:rFonts w:ascii="Arial" w:eastAsia="Times New Roman"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15:restartNumberingAfterBreak="0">
    <w:nsid w:val="33AC7DD1"/>
    <w:multiLevelType w:val="hybridMultilevel"/>
    <w:tmpl w:val="44003E1A"/>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80CA2"/>
    <w:multiLevelType w:val="multilevel"/>
    <w:tmpl w:val="C6FE87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233EB0"/>
    <w:multiLevelType w:val="multilevel"/>
    <w:tmpl w:val="4030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054A6A"/>
    <w:multiLevelType w:val="hybridMultilevel"/>
    <w:tmpl w:val="0CD24C04"/>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5F5766"/>
    <w:multiLevelType w:val="hybridMultilevel"/>
    <w:tmpl w:val="FE14CD76"/>
    <w:lvl w:ilvl="0" w:tplc="6C2C7654">
      <w:start w:val="20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120F43"/>
    <w:multiLevelType w:val="hybridMultilevel"/>
    <w:tmpl w:val="729070CA"/>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5F3E9D"/>
    <w:multiLevelType w:val="hybridMultilevel"/>
    <w:tmpl w:val="A26A4B0E"/>
    <w:lvl w:ilvl="0" w:tplc="0FD49656">
      <w:start w:val="1"/>
      <w:numFmt w:val="bullet"/>
      <w:lvlText w:val="-"/>
      <w:lvlJc w:val="left"/>
      <w:pPr>
        <w:ind w:left="1245" w:hanging="360"/>
      </w:pPr>
      <w:rPr>
        <w:rFonts w:ascii="Arial" w:hAnsi="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3" w15:restartNumberingAfterBreak="0">
    <w:nsid w:val="56E8397E"/>
    <w:multiLevelType w:val="hybridMultilevel"/>
    <w:tmpl w:val="A022C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CB1265"/>
    <w:multiLevelType w:val="hybridMultilevel"/>
    <w:tmpl w:val="55CCE186"/>
    <w:lvl w:ilvl="0" w:tplc="31EC885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5" w15:restartNumberingAfterBreak="0">
    <w:nsid w:val="6BE048D6"/>
    <w:multiLevelType w:val="hybridMultilevel"/>
    <w:tmpl w:val="1ABCFA06"/>
    <w:lvl w:ilvl="0" w:tplc="0FD49656">
      <w:start w:val="1"/>
      <w:numFmt w:val="bullet"/>
      <w:lvlText w:val="-"/>
      <w:lvlJc w:val="left"/>
      <w:pPr>
        <w:ind w:left="765" w:hanging="360"/>
      </w:pPr>
      <w:rPr>
        <w:rFonts w:ascii="Arial" w:hAnsi="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79157C85"/>
    <w:multiLevelType w:val="hybridMultilevel"/>
    <w:tmpl w:val="58AAD1EC"/>
    <w:lvl w:ilvl="0" w:tplc="6C2C7654">
      <w:start w:val="20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E003E"/>
    <w:multiLevelType w:val="hybridMultilevel"/>
    <w:tmpl w:val="026E931A"/>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
  </w:num>
  <w:num w:numId="5">
    <w:abstractNumId w:val="2"/>
  </w:num>
  <w:num w:numId="6">
    <w:abstractNumId w:val="4"/>
  </w:num>
  <w:num w:numId="7">
    <w:abstractNumId w:val="12"/>
  </w:num>
  <w:num w:numId="8">
    <w:abstractNumId w:val="9"/>
  </w:num>
  <w:num w:numId="9">
    <w:abstractNumId w:val="6"/>
  </w:num>
  <w:num w:numId="10">
    <w:abstractNumId w:val="5"/>
  </w:num>
  <w:num w:numId="11">
    <w:abstractNumId w:val="13"/>
  </w:num>
  <w:num w:numId="12">
    <w:abstractNumId w:val="3"/>
  </w:num>
  <w:num w:numId="13">
    <w:abstractNumId w:val="0"/>
  </w:num>
  <w:num w:numId="14">
    <w:abstractNumId w:val="17"/>
  </w:num>
  <w:num w:numId="15">
    <w:abstractNumId w:val="11"/>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08"/>
  <w:hyphenationZone w:val="425"/>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E3"/>
    <w:rsid w:val="000002F4"/>
    <w:rsid w:val="00000C6A"/>
    <w:rsid w:val="0000329D"/>
    <w:rsid w:val="000044C6"/>
    <w:rsid w:val="00007852"/>
    <w:rsid w:val="00010D56"/>
    <w:rsid w:val="00012D06"/>
    <w:rsid w:val="00013B5F"/>
    <w:rsid w:val="00016448"/>
    <w:rsid w:val="00020765"/>
    <w:rsid w:val="00022822"/>
    <w:rsid w:val="00023ECE"/>
    <w:rsid w:val="00031AFE"/>
    <w:rsid w:val="00031B90"/>
    <w:rsid w:val="00032573"/>
    <w:rsid w:val="000366CB"/>
    <w:rsid w:val="00036929"/>
    <w:rsid w:val="0004094F"/>
    <w:rsid w:val="00041FFD"/>
    <w:rsid w:val="000458CF"/>
    <w:rsid w:val="00045FD2"/>
    <w:rsid w:val="000472E1"/>
    <w:rsid w:val="00050C70"/>
    <w:rsid w:val="00054DC8"/>
    <w:rsid w:val="0006096C"/>
    <w:rsid w:val="00061FC8"/>
    <w:rsid w:val="00065B0C"/>
    <w:rsid w:val="000666F4"/>
    <w:rsid w:val="00072B28"/>
    <w:rsid w:val="00072B7F"/>
    <w:rsid w:val="00074234"/>
    <w:rsid w:val="000754A4"/>
    <w:rsid w:val="000768AA"/>
    <w:rsid w:val="00080B27"/>
    <w:rsid w:val="000828C6"/>
    <w:rsid w:val="00087029"/>
    <w:rsid w:val="00087AB2"/>
    <w:rsid w:val="00087BF8"/>
    <w:rsid w:val="0009064E"/>
    <w:rsid w:val="00095C11"/>
    <w:rsid w:val="00096DCC"/>
    <w:rsid w:val="000A04EC"/>
    <w:rsid w:val="000A19BD"/>
    <w:rsid w:val="000A2B38"/>
    <w:rsid w:val="000A2FC0"/>
    <w:rsid w:val="000B2FDE"/>
    <w:rsid w:val="000B34CB"/>
    <w:rsid w:val="000C1CDE"/>
    <w:rsid w:val="000C478A"/>
    <w:rsid w:val="000D4E51"/>
    <w:rsid w:val="000E4C9C"/>
    <w:rsid w:val="000E5956"/>
    <w:rsid w:val="000E7670"/>
    <w:rsid w:val="000E7F02"/>
    <w:rsid w:val="000F04B2"/>
    <w:rsid w:val="000F0824"/>
    <w:rsid w:val="000F5F81"/>
    <w:rsid w:val="000F680C"/>
    <w:rsid w:val="001031E1"/>
    <w:rsid w:val="00107EB4"/>
    <w:rsid w:val="00107F7D"/>
    <w:rsid w:val="00110906"/>
    <w:rsid w:val="00112F48"/>
    <w:rsid w:val="00117EBD"/>
    <w:rsid w:val="00120E0B"/>
    <w:rsid w:val="00121D8C"/>
    <w:rsid w:val="0013060F"/>
    <w:rsid w:val="001320E8"/>
    <w:rsid w:val="001338F9"/>
    <w:rsid w:val="001373A9"/>
    <w:rsid w:val="00137B47"/>
    <w:rsid w:val="001401D0"/>
    <w:rsid w:val="001413D3"/>
    <w:rsid w:val="00143E2C"/>
    <w:rsid w:val="00144075"/>
    <w:rsid w:val="00145CFA"/>
    <w:rsid w:val="00145E3A"/>
    <w:rsid w:val="00147FF6"/>
    <w:rsid w:val="00155FAF"/>
    <w:rsid w:val="001569F1"/>
    <w:rsid w:val="00157BA5"/>
    <w:rsid w:val="00157C07"/>
    <w:rsid w:val="00161705"/>
    <w:rsid w:val="00165C4B"/>
    <w:rsid w:val="0018107D"/>
    <w:rsid w:val="00185769"/>
    <w:rsid w:val="00185AAB"/>
    <w:rsid w:val="001947F9"/>
    <w:rsid w:val="00195EA3"/>
    <w:rsid w:val="001A0722"/>
    <w:rsid w:val="001A2198"/>
    <w:rsid w:val="001A28FA"/>
    <w:rsid w:val="001A3565"/>
    <w:rsid w:val="001A5396"/>
    <w:rsid w:val="001A5997"/>
    <w:rsid w:val="001A6965"/>
    <w:rsid w:val="001B08FF"/>
    <w:rsid w:val="001B1CB0"/>
    <w:rsid w:val="001B2288"/>
    <w:rsid w:val="001B2A6F"/>
    <w:rsid w:val="001B4FFC"/>
    <w:rsid w:val="001C0B3C"/>
    <w:rsid w:val="001C17C2"/>
    <w:rsid w:val="001C2006"/>
    <w:rsid w:val="001C299C"/>
    <w:rsid w:val="001C53A6"/>
    <w:rsid w:val="001C74FC"/>
    <w:rsid w:val="001D07D9"/>
    <w:rsid w:val="001D0DEC"/>
    <w:rsid w:val="001D1280"/>
    <w:rsid w:val="001D378A"/>
    <w:rsid w:val="001D7CCC"/>
    <w:rsid w:val="001D7D9C"/>
    <w:rsid w:val="001E4E2C"/>
    <w:rsid w:val="001E668C"/>
    <w:rsid w:val="001F1EEE"/>
    <w:rsid w:val="001F3F7C"/>
    <w:rsid w:val="001F7904"/>
    <w:rsid w:val="002003E0"/>
    <w:rsid w:val="0020053E"/>
    <w:rsid w:val="00200FD7"/>
    <w:rsid w:val="002014AC"/>
    <w:rsid w:val="00203C53"/>
    <w:rsid w:val="00210FEC"/>
    <w:rsid w:val="0021517D"/>
    <w:rsid w:val="00215E64"/>
    <w:rsid w:val="00224CDF"/>
    <w:rsid w:val="002315C3"/>
    <w:rsid w:val="0023363D"/>
    <w:rsid w:val="00252944"/>
    <w:rsid w:val="00261E63"/>
    <w:rsid w:val="00264F11"/>
    <w:rsid w:val="002735E5"/>
    <w:rsid w:val="00283408"/>
    <w:rsid w:val="0029103C"/>
    <w:rsid w:val="00294EAA"/>
    <w:rsid w:val="0029561E"/>
    <w:rsid w:val="0029746A"/>
    <w:rsid w:val="00297792"/>
    <w:rsid w:val="002A0B18"/>
    <w:rsid w:val="002A3ABA"/>
    <w:rsid w:val="002A4858"/>
    <w:rsid w:val="002A5FDE"/>
    <w:rsid w:val="002B4C1A"/>
    <w:rsid w:val="002C056A"/>
    <w:rsid w:val="002C7092"/>
    <w:rsid w:val="002C7F5C"/>
    <w:rsid w:val="002D3678"/>
    <w:rsid w:val="002D4B5D"/>
    <w:rsid w:val="002D4B9C"/>
    <w:rsid w:val="002D6C49"/>
    <w:rsid w:val="002F014B"/>
    <w:rsid w:val="002F16AD"/>
    <w:rsid w:val="002F3623"/>
    <w:rsid w:val="002F5EE5"/>
    <w:rsid w:val="0030524A"/>
    <w:rsid w:val="0030631B"/>
    <w:rsid w:val="00307045"/>
    <w:rsid w:val="00311DA2"/>
    <w:rsid w:val="00311EC5"/>
    <w:rsid w:val="00313B3E"/>
    <w:rsid w:val="00315757"/>
    <w:rsid w:val="003158D5"/>
    <w:rsid w:val="00316437"/>
    <w:rsid w:val="0031779D"/>
    <w:rsid w:val="00317CEF"/>
    <w:rsid w:val="00322201"/>
    <w:rsid w:val="00327C9F"/>
    <w:rsid w:val="00330725"/>
    <w:rsid w:val="00334404"/>
    <w:rsid w:val="00334839"/>
    <w:rsid w:val="00334856"/>
    <w:rsid w:val="003357E6"/>
    <w:rsid w:val="003359BC"/>
    <w:rsid w:val="00340ADD"/>
    <w:rsid w:val="003416F6"/>
    <w:rsid w:val="0034187E"/>
    <w:rsid w:val="0034238A"/>
    <w:rsid w:val="0034645D"/>
    <w:rsid w:val="00354713"/>
    <w:rsid w:val="00354749"/>
    <w:rsid w:val="00357C0C"/>
    <w:rsid w:val="00362CE3"/>
    <w:rsid w:val="00362D57"/>
    <w:rsid w:val="00364043"/>
    <w:rsid w:val="00365C60"/>
    <w:rsid w:val="00370828"/>
    <w:rsid w:val="00370D79"/>
    <w:rsid w:val="0037195B"/>
    <w:rsid w:val="00374C0E"/>
    <w:rsid w:val="003772F3"/>
    <w:rsid w:val="0037736D"/>
    <w:rsid w:val="00377605"/>
    <w:rsid w:val="00384C4C"/>
    <w:rsid w:val="00385171"/>
    <w:rsid w:val="0038620C"/>
    <w:rsid w:val="00390AB5"/>
    <w:rsid w:val="00393246"/>
    <w:rsid w:val="00395B4E"/>
    <w:rsid w:val="003A0FEC"/>
    <w:rsid w:val="003B245B"/>
    <w:rsid w:val="003B3251"/>
    <w:rsid w:val="003B4093"/>
    <w:rsid w:val="003B7957"/>
    <w:rsid w:val="003C2D98"/>
    <w:rsid w:val="003C3052"/>
    <w:rsid w:val="003C37F8"/>
    <w:rsid w:val="003C43C9"/>
    <w:rsid w:val="003C52E6"/>
    <w:rsid w:val="003C631D"/>
    <w:rsid w:val="003C7AD3"/>
    <w:rsid w:val="003C7E3B"/>
    <w:rsid w:val="003D7CE7"/>
    <w:rsid w:val="003E198C"/>
    <w:rsid w:val="003E7762"/>
    <w:rsid w:val="003F1EC5"/>
    <w:rsid w:val="003F2386"/>
    <w:rsid w:val="003F3AD4"/>
    <w:rsid w:val="003F6817"/>
    <w:rsid w:val="0040377F"/>
    <w:rsid w:val="004040F3"/>
    <w:rsid w:val="00405371"/>
    <w:rsid w:val="00411664"/>
    <w:rsid w:val="004132E9"/>
    <w:rsid w:val="00413585"/>
    <w:rsid w:val="00413E95"/>
    <w:rsid w:val="00415AD3"/>
    <w:rsid w:val="004245EA"/>
    <w:rsid w:val="00424935"/>
    <w:rsid w:val="0042497B"/>
    <w:rsid w:val="00424B68"/>
    <w:rsid w:val="004313D5"/>
    <w:rsid w:val="004342C2"/>
    <w:rsid w:val="00447172"/>
    <w:rsid w:val="00450E3D"/>
    <w:rsid w:val="004513F2"/>
    <w:rsid w:val="00454CBF"/>
    <w:rsid w:val="0045548D"/>
    <w:rsid w:val="00457EE2"/>
    <w:rsid w:val="004615B3"/>
    <w:rsid w:val="004615D1"/>
    <w:rsid w:val="00461757"/>
    <w:rsid w:val="00464858"/>
    <w:rsid w:val="00471FC3"/>
    <w:rsid w:val="00474A00"/>
    <w:rsid w:val="0047521C"/>
    <w:rsid w:val="00475B0C"/>
    <w:rsid w:val="0048228A"/>
    <w:rsid w:val="00483885"/>
    <w:rsid w:val="004854DB"/>
    <w:rsid w:val="004860A5"/>
    <w:rsid w:val="00494B27"/>
    <w:rsid w:val="00494EF1"/>
    <w:rsid w:val="004969E6"/>
    <w:rsid w:val="0049727B"/>
    <w:rsid w:val="004A105F"/>
    <w:rsid w:val="004A1BCA"/>
    <w:rsid w:val="004A2F24"/>
    <w:rsid w:val="004A6361"/>
    <w:rsid w:val="004B04FB"/>
    <w:rsid w:val="004B11C6"/>
    <w:rsid w:val="004B16AD"/>
    <w:rsid w:val="004B386A"/>
    <w:rsid w:val="004B5D29"/>
    <w:rsid w:val="004B62CF"/>
    <w:rsid w:val="004C69A1"/>
    <w:rsid w:val="004C74CF"/>
    <w:rsid w:val="004C770B"/>
    <w:rsid w:val="004D1940"/>
    <w:rsid w:val="004D28C4"/>
    <w:rsid w:val="004D50A5"/>
    <w:rsid w:val="004E695A"/>
    <w:rsid w:val="004F1F94"/>
    <w:rsid w:val="004F2CE0"/>
    <w:rsid w:val="004F2D29"/>
    <w:rsid w:val="004F331C"/>
    <w:rsid w:val="004F3B89"/>
    <w:rsid w:val="004F40A8"/>
    <w:rsid w:val="004F45D7"/>
    <w:rsid w:val="004F6EEA"/>
    <w:rsid w:val="00505B89"/>
    <w:rsid w:val="0051209C"/>
    <w:rsid w:val="00512843"/>
    <w:rsid w:val="00517A35"/>
    <w:rsid w:val="005220BD"/>
    <w:rsid w:val="005268A2"/>
    <w:rsid w:val="005272AD"/>
    <w:rsid w:val="0052781B"/>
    <w:rsid w:val="00531AF2"/>
    <w:rsid w:val="005361AC"/>
    <w:rsid w:val="005445FD"/>
    <w:rsid w:val="0055112B"/>
    <w:rsid w:val="00552200"/>
    <w:rsid w:val="00556F8E"/>
    <w:rsid w:val="00562904"/>
    <w:rsid w:val="00565C19"/>
    <w:rsid w:val="00565D83"/>
    <w:rsid w:val="005667EC"/>
    <w:rsid w:val="00570A02"/>
    <w:rsid w:val="0058027A"/>
    <w:rsid w:val="005851AE"/>
    <w:rsid w:val="00585EA9"/>
    <w:rsid w:val="005861E8"/>
    <w:rsid w:val="00594770"/>
    <w:rsid w:val="00595774"/>
    <w:rsid w:val="005964A6"/>
    <w:rsid w:val="00596922"/>
    <w:rsid w:val="00596D83"/>
    <w:rsid w:val="005B1AB0"/>
    <w:rsid w:val="005B1D8D"/>
    <w:rsid w:val="005C2207"/>
    <w:rsid w:val="005C22B1"/>
    <w:rsid w:val="005C2574"/>
    <w:rsid w:val="005C2AB1"/>
    <w:rsid w:val="005C5355"/>
    <w:rsid w:val="005C638F"/>
    <w:rsid w:val="005D3C93"/>
    <w:rsid w:val="005F28DC"/>
    <w:rsid w:val="005F50F4"/>
    <w:rsid w:val="005F7DF4"/>
    <w:rsid w:val="00601DDC"/>
    <w:rsid w:val="006060D1"/>
    <w:rsid w:val="006064E6"/>
    <w:rsid w:val="00610A12"/>
    <w:rsid w:val="00612562"/>
    <w:rsid w:val="00614C42"/>
    <w:rsid w:val="00615744"/>
    <w:rsid w:val="00620066"/>
    <w:rsid w:val="00621EA5"/>
    <w:rsid w:val="006226F4"/>
    <w:rsid w:val="00623101"/>
    <w:rsid w:val="00623628"/>
    <w:rsid w:val="00630AEE"/>
    <w:rsid w:val="00632632"/>
    <w:rsid w:val="00633A30"/>
    <w:rsid w:val="0063673E"/>
    <w:rsid w:val="00642477"/>
    <w:rsid w:val="00646920"/>
    <w:rsid w:val="00650D92"/>
    <w:rsid w:val="0065321E"/>
    <w:rsid w:val="00654481"/>
    <w:rsid w:val="00655175"/>
    <w:rsid w:val="00655B60"/>
    <w:rsid w:val="00663508"/>
    <w:rsid w:val="00664517"/>
    <w:rsid w:val="00666ADD"/>
    <w:rsid w:val="00666BB5"/>
    <w:rsid w:val="0067266F"/>
    <w:rsid w:val="006735B6"/>
    <w:rsid w:val="006821A9"/>
    <w:rsid w:val="00682F39"/>
    <w:rsid w:val="00683FB1"/>
    <w:rsid w:val="006875A0"/>
    <w:rsid w:val="00690D4D"/>
    <w:rsid w:val="006930D3"/>
    <w:rsid w:val="0069509C"/>
    <w:rsid w:val="00697954"/>
    <w:rsid w:val="006A3AF2"/>
    <w:rsid w:val="006B55F4"/>
    <w:rsid w:val="006B6A19"/>
    <w:rsid w:val="006B6A72"/>
    <w:rsid w:val="006B7A4A"/>
    <w:rsid w:val="006C4BEF"/>
    <w:rsid w:val="006C53C3"/>
    <w:rsid w:val="006C6260"/>
    <w:rsid w:val="006D4B36"/>
    <w:rsid w:val="006D4E24"/>
    <w:rsid w:val="006D5BCB"/>
    <w:rsid w:val="006E437F"/>
    <w:rsid w:val="006E473B"/>
    <w:rsid w:val="006E6A96"/>
    <w:rsid w:val="006E6E04"/>
    <w:rsid w:val="007071E6"/>
    <w:rsid w:val="00707487"/>
    <w:rsid w:val="00712056"/>
    <w:rsid w:val="007137EB"/>
    <w:rsid w:val="0071432A"/>
    <w:rsid w:val="00715722"/>
    <w:rsid w:val="00716AEB"/>
    <w:rsid w:val="0072255B"/>
    <w:rsid w:val="00723420"/>
    <w:rsid w:val="00723B7F"/>
    <w:rsid w:val="0072425C"/>
    <w:rsid w:val="007305CB"/>
    <w:rsid w:val="00735A44"/>
    <w:rsid w:val="0074120B"/>
    <w:rsid w:val="00743FDD"/>
    <w:rsid w:val="00750F7D"/>
    <w:rsid w:val="0075337F"/>
    <w:rsid w:val="007534B5"/>
    <w:rsid w:val="0075384E"/>
    <w:rsid w:val="00755BF6"/>
    <w:rsid w:val="007571D7"/>
    <w:rsid w:val="00757DB2"/>
    <w:rsid w:val="00757EF1"/>
    <w:rsid w:val="00762EE7"/>
    <w:rsid w:val="007657D6"/>
    <w:rsid w:val="00766335"/>
    <w:rsid w:val="00766A48"/>
    <w:rsid w:val="007726C1"/>
    <w:rsid w:val="0077322A"/>
    <w:rsid w:val="00777860"/>
    <w:rsid w:val="00780AF5"/>
    <w:rsid w:val="007821B2"/>
    <w:rsid w:val="00782E55"/>
    <w:rsid w:val="00784120"/>
    <w:rsid w:val="00784324"/>
    <w:rsid w:val="007845CF"/>
    <w:rsid w:val="0079074F"/>
    <w:rsid w:val="00791323"/>
    <w:rsid w:val="00792241"/>
    <w:rsid w:val="00792D42"/>
    <w:rsid w:val="00795120"/>
    <w:rsid w:val="007964A7"/>
    <w:rsid w:val="007A3D60"/>
    <w:rsid w:val="007A4E15"/>
    <w:rsid w:val="007A6E1E"/>
    <w:rsid w:val="007B05F5"/>
    <w:rsid w:val="007B13C8"/>
    <w:rsid w:val="007B51CF"/>
    <w:rsid w:val="007B7468"/>
    <w:rsid w:val="007C07DE"/>
    <w:rsid w:val="007C1EE9"/>
    <w:rsid w:val="007C4203"/>
    <w:rsid w:val="007C6DF7"/>
    <w:rsid w:val="007C7A54"/>
    <w:rsid w:val="007D53E4"/>
    <w:rsid w:val="007D5C39"/>
    <w:rsid w:val="007D7ADE"/>
    <w:rsid w:val="007E0788"/>
    <w:rsid w:val="007E7F22"/>
    <w:rsid w:val="007F3385"/>
    <w:rsid w:val="007F6696"/>
    <w:rsid w:val="007F7138"/>
    <w:rsid w:val="007F7BDC"/>
    <w:rsid w:val="008000BB"/>
    <w:rsid w:val="00805597"/>
    <w:rsid w:val="00805BD8"/>
    <w:rsid w:val="0081503D"/>
    <w:rsid w:val="00816132"/>
    <w:rsid w:val="008269FA"/>
    <w:rsid w:val="00827629"/>
    <w:rsid w:val="00827B88"/>
    <w:rsid w:val="0084338E"/>
    <w:rsid w:val="008439F4"/>
    <w:rsid w:val="00852569"/>
    <w:rsid w:val="00853747"/>
    <w:rsid w:val="00857712"/>
    <w:rsid w:val="0085780F"/>
    <w:rsid w:val="00862436"/>
    <w:rsid w:val="008648C8"/>
    <w:rsid w:val="00866906"/>
    <w:rsid w:val="00875491"/>
    <w:rsid w:val="0087718D"/>
    <w:rsid w:val="0087759B"/>
    <w:rsid w:val="00891208"/>
    <w:rsid w:val="008A3203"/>
    <w:rsid w:val="008A342E"/>
    <w:rsid w:val="008A3AFE"/>
    <w:rsid w:val="008A3CA5"/>
    <w:rsid w:val="008A48E6"/>
    <w:rsid w:val="008A6704"/>
    <w:rsid w:val="008A7348"/>
    <w:rsid w:val="008B04EF"/>
    <w:rsid w:val="008C319A"/>
    <w:rsid w:val="008C5BE9"/>
    <w:rsid w:val="008C6C19"/>
    <w:rsid w:val="008D1511"/>
    <w:rsid w:val="008D3496"/>
    <w:rsid w:val="008D3D0C"/>
    <w:rsid w:val="008D6E85"/>
    <w:rsid w:val="008E024D"/>
    <w:rsid w:val="008E14BB"/>
    <w:rsid w:val="008E26B0"/>
    <w:rsid w:val="008E2A21"/>
    <w:rsid w:val="008E40C3"/>
    <w:rsid w:val="008E4E83"/>
    <w:rsid w:val="008E6345"/>
    <w:rsid w:val="008F22DF"/>
    <w:rsid w:val="008F4B5D"/>
    <w:rsid w:val="008F6BC6"/>
    <w:rsid w:val="00901BED"/>
    <w:rsid w:val="00904665"/>
    <w:rsid w:val="00905AFB"/>
    <w:rsid w:val="009065F3"/>
    <w:rsid w:val="00906E6F"/>
    <w:rsid w:val="00910BF8"/>
    <w:rsid w:val="00914B15"/>
    <w:rsid w:val="00916208"/>
    <w:rsid w:val="00921DDD"/>
    <w:rsid w:val="0092784D"/>
    <w:rsid w:val="00931C10"/>
    <w:rsid w:val="00932B9A"/>
    <w:rsid w:val="00932CC6"/>
    <w:rsid w:val="00932D1A"/>
    <w:rsid w:val="0093734E"/>
    <w:rsid w:val="009376DA"/>
    <w:rsid w:val="009426FD"/>
    <w:rsid w:val="009429A4"/>
    <w:rsid w:val="00942B43"/>
    <w:rsid w:val="00947C16"/>
    <w:rsid w:val="00951950"/>
    <w:rsid w:val="009538FA"/>
    <w:rsid w:val="00953A9C"/>
    <w:rsid w:val="0096180E"/>
    <w:rsid w:val="00964470"/>
    <w:rsid w:val="009675DC"/>
    <w:rsid w:val="00975588"/>
    <w:rsid w:val="00983E00"/>
    <w:rsid w:val="00986A90"/>
    <w:rsid w:val="0099625E"/>
    <w:rsid w:val="009A12E1"/>
    <w:rsid w:val="009A399C"/>
    <w:rsid w:val="009A4BEC"/>
    <w:rsid w:val="009A5F06"/>
    <w:rsid w:val="009B0384"/>
    <w:rsid w:val="009B079D"/>
    <w:rsid w:val="009B2601"/>
    <w:rsid w:val="009B4CC4"/>
    <w:rsid w:val="009B4E1F"/>
    <w:rsid w:val="009C12FB"/>
    <w:rsid w:val="009C206A"/>
    <w:rsid w:val="009C492F"/>
    <w:rsid w:val="009D0E15"/>
    <w:rsid w:val="009D1C0C"/>
    <w:rsid w:val="009D776D"/>
    <w:rsid w:val="009E25C9"/>
    <w:rsid w:val="009F47E3"/>
    <w:rsid w:val="009F5806"/>
    <w:rsid w:val="009F6E3C"/>
    <w:rsid w:val="009F7E61"/>
    <w:rsid w:val="00A03D60"/>
    <w:rsid w:val="00A07C4E"/>
    <w:rsid w:val="00A07CFD"/>
    <w:rsid w:val="00A125CF"/>
    <w:rsid w:val="00A12D22"/>
    <w:rsid w:val="00A148FA"/>
    <w:rsid w:val="00A262CF"/>
    <w:rsid w:val="00A33E73"/>
    <w:rsid w:val="00A342E1"/>
    <w:rsid w:val="00A377EC"/>
    <w:rsid w:val="00A40DF0"/>
    <w:rsid w:val="00A411E4"/>
    <w:rsid w:val="00A4458B"/>
    <w:rsid w:val="00A5176D"/>
    <w:rsid w:val="00A54DF6"/>
    <w:rsid w:val="00A62C7B"/>
    <w:rsid w:val="00A71329"/>
    <w:rsid w:val="00A71C38"/>
    <w:rsid w:val="00A74A0D"/>
    <w:rsid w:val="00A74B45"/>
    <w:rsid w:val="00A757A8"/>
    <w:rsid w:val="00A76F98"/>
    <w:rsid w:val="00A77C91"/>
    <w:rsid w:val="00A868D1"/>
    <w:rsid w:val="00A876A2"/>
    <w:rsid w:val="00A876DE"/>
    <w:rsid w:val="00A90910"/>
    <w:rsid w:val="00A90DED"/>
    <w:rsid w:val="00A929D2"/>
    <w:rsid w:val="00AA7346"/>
    <w:rsid w:val="00AB276C"/>
    <w:rsid w:val="00AB4DBD"/>
    <w:rsid w:val="00AB5ED3"/>
    <w:rsid w:val="00AB5FCC"/>
    <w:rsid w:val="00AB7B87"/>
    <w:rsid w:val="00AC11EF"/>
    <w:rsid w:val="00AC5ECB"/>
    <w:rsid w:val="00AC6114"/>
    <w:rsid w:val="00AC7EA1"/>
    <w:rsid w:val="00AD22A8"/>
    <w:rsid w:val="00AE3CE8"/>
    <w:rsid w:val="00AE51F7"/>
    <w:rsid w:val="00AE547A"/>
    <w:rsid w:val="00AE73F7"/>
    <w:rsid w:val="00AE7A8C"/>
    <w:rsid w:val="00AF194F"/>
    <w:rsid w:val="00AF2013"/>
    <w:rsid w:val="00AF44C9"/>
    <w:rsid w:val="00B01C9F"/>
    <w:rsid w:val="00B01E4E"/>
    <w:rsid w:val="00B0201C"/>
    <w:rsid w:val="00B02C55"/>
    <w:rsid w:val="00B03CD4"/>
    <w:rsid w:val="00B14A8A"/>
    <w:rsid w:val="00B26EF3"/>
    <w:rsid w:val="00B32069"/>
    <w:rsid w:val="00B33AED"/>
    <w:rsid w:val="00B35815"/>
    <w:rsid w:val="00B3679C"/>
    <w:rsid w:val="00B42DD6"/>
    <w:rsid w:val="00B50625"/>
    <w:rsid w:val="00B51999"/>
    <w:rsid w:val="00B60B16"/>
    <w:rsid w:val="00B6359E"/>
    <w:rsid w:val="00B63680"/>
    <w:rsid w:val="00B638AC"/>
    <w:rsid w:val="00B63D6D"/>
    <w:rsid w:val="00B6465B"/>
    <w:rsid w:val="00B650F1"/>
    <w:rsid w:val="00B6752B"/>
    <w:rsid w:val="00B7376C"/>
    <w:rsid w:val="00B77AE6"/>
    <w:rsid w:val="00B82F45"/>
    <w:rsid w:val="00B83876"/>
    <w:rsid w:val="00B8618E"/>
    <w:rsid w:val="00B9199B"/>
    <w:rsid w:val="00B9321B"/>
    <w:rsid w:val="00B950E7"/>
    <w:rsid w:val="00B95516"/>
    <w:rsid w:val="00B95DCB"/>
    <w:rsid w:val="00B96A39"/>
    <w:rsid w:val="00BA3D73"/>
    <w:rsid w:val="00BA579D"/>
    <w:rsid w:val="00BB0086"/>
    <w:rsid w:val="00BB1B5B"/>
    <w:rsid w:val="00BB36CC"/>
    <w:rsid w:val="00BB3972"/>
    <w:rsid w:val="00BB7DC3"/>
    <w:rsid w:val="00BC1046"/>
    <w:rsid w:val="00BC1B02"/>
    <w:rsid w:val="00BC4572"/>
    <w:rsid w:val="00BE0291"/>
    <w:rsid w:val="00BE179B"/>
    <w:rsid w:val="00BE3579"/>
    <w:rsid w:val="00BE3EB5"/>
    <w:rsid w:val="00BE3F9A"/>
    <w:rsid w:val="00BE4DDD"/>
    <w:rsid w:val="00BE6250"/>
    <w:rsid w:val="00BE6A70"/>
    <w:rsid w:val="00BE752F"/>
    <w:rsid w:val="00BF2A6C"/>
    <w:rsid w:val="00BF597A"/>
    <w:rsid w:val="00BF5D8D"/>
    <w:rsid w:val="00BF680D"/>
    <w:rsid w:val="00C02E60"/>
    <w:rsid w:val="00C047C5"/>
    <w:rsid w:val="00C05AD1"/>
    <w:rsid w:val="00C064A1"/>
    <w:rsid w:val="00C074C7"/>
    <w:rsid w:val="00C11CCD"/>
    <w:rsid w:val="00C13C31"/>
    <w:rsid w:val="00C14B45"/>
    <w:rsid w:val="00C16257"/>
    <w:rsid w:val="00C17A0E"/>
    <w:rsid w:val="00C205E4"/>
    <w:rsid w:val="00C21273"/>
    <w:rsid w:val="00C23AC7"/>
    <w:rsid w:val="00C2424A"/>
    <w:rsid w:val="00C2453A"/>
    <w:rsid w:val="00C271C2"/>
    <w:rsid w:val="00C27C9E"/>
    <w:rsid w:val="00C333F4"/>
    <w:rsid w:val="00C3366E"/>
    <w:rsid w:val="00C44ED8"/>
    <w:rsid w:val="00C479D6"/>
    <w:rsid w:val="00C510ED"/>
    <w:rsid w:val="00C5211C"/>
    <w:rsid w:val="00C6464D"/>
    <w:rsid w:val="00C679D1"/>
    <w:rsid w:val="00C70286"/>
    <w:rsid w:val="00C71206"/>
    <w:rsid w:val="00C752A9"/>
    <w:rsid w:val="00C753BF"/>
    <w:rsid w:val="00C76FF3"/>
    <w:rsid w:val="00C825A3"/>
    <w:rsid w:val="00C8271E"/>
    <w:rsid w:val="00C94E34"/>
    <w:rsid w:val="00C95EB0"/>
    <w:rsid w:val="00C96B32"/>
    <w:rsid w:val="00CA02BF"/>
    <w:rsid w:val="00CA55AF"/>
    <w:rsid w:val="00CB1039"/>
    <w:rsid w:val="00CC40CD"/>
    <w:rsid w:val="00CC5DAC"/>
    <w:rsid w:val="00CC70EF"/>
    <w:rsid w:val="00CD00CD"/>
    <w:rsid w:val="00CD14C0"/>
    <w:rsid w:val="00CD1954"/>
    <w:rsid w:val="00CD5C55"/>
    <w:rsid w:val="00CE0B2E"/>
    <w:rsid w:val="00CE3E73"/>
    <w:rsid w:val="00CF05E9"/>
    <w:rsid w:val="00CF14B3"/>
    <w:rsid w:val="00CF5443"/>
    <w:rsid w:val="00CF6825"/>
    <w:rsid w:val="00CF6936"/>
    <w:rsid w:val="00D00445"/>
    <w:rsid w:val="00D02624"/>
    <w:rsid w:val="00D05DE8"/>
    <w:rsid w:val="00D062DD"/>
    <w:rsid w:val="00D111A0"/>
    <w:rsid w:val="00D12385"/>
    <w:rsid w:val="00D12FCE"/>
    <w:rsid w:val="00D133F1"/>
    <w:rsid w:val="00D137F4"/>
    <w:rsid w:val="00D1425F"/>
    <w:rsid w:val="00D1510C"/>
    <w:rsid w:val="00D2675C"/>
    <w:rsid w:val="00D2778F"/>
    <w:rsid w:val="00D27F3F"/>
    <w:rsid w:val="00D31372"/>
    <w:rsid w:val="00D3154A"/>
    <w:rsid w:val="00D34118"/>
    <w:rsid w:val="00D40847"/>
    <w:rsid w:val="00D43EE7"/>
    <w:rsid w:val="00D44F05"/>
    <w:rsid w:val="00D463C9"/>
    <w:rsid w:val="00D467A1"/>
    <w:rsid w:val="00D50406"/>
    <w:rsid w:val="00D53195"/>
    <w:rsid w:val="00D54CE8"/>
    <w:rsid w:val="00D57E0E"/>
    <w:rsid w:val="00D63DF8"/>
    <w:rsid w:val="00D67C7D"/>
    <w:rsid w:val="00D72BB2"/>
    <w:rsid w:val="00D77873"/>
    <w:rsid w:val="00D863BD"/>
    <w:rsid w:val="00D87222"/>
    <w:rsid w:val="00D90FA2"/>
    <w:rsid w:val="00D918EE"/>
    <w:rsid w:val="00D94C61"/>
    <w:rsid w:val="00DA2A6B"/>
    <w:rsid w:val="00DA3F06"/>
    <w:rsid w:val="00DA6A2A"/>
    <w:rsid w:val="00DB1DAF"/>
    <w:rsid w:val="00DB2C71"/>
    <w:rsid w:val="00DB38C7"/>
    <w:rsid w:val="00DB3ADB"/>
    <w:rsid w:val="00DB3F8E"/>
    <w:rsid w:val="00DB5BBF"/>
    <w:rsid w:val="00DC0DA1"/>
    <w:rsid w:val="00DC25E6"/>
    <w:rsid w:val="00DC63A1"/>
    <w:rsid w:val="00DC69C8"/>
    <w:rsid w:val="00DD7977"/>
    <w:rsid w:val="00DE0CAE"/>
    <w:rsid w:val="00DE14E8"/>
    <w:rsid w:val="00DE3868"/>
    <w:rsid w:val="00DE4822"/>
    <w:rsid w:val="00DF5739"/>
    <w:rsid w:val="00E00EB5"/>
    <w:rsid w:val="00E01AE8"/>
    <w:rsid w:val="00E02192"/>
    <w:rsid w:val="00E10329"/>
    <w:rsid w:val="00E110E2"/>
    <w:rsid w:val="00E144B1"/>
    <w:rsid w:val="00E21CA0"/>
    <w:rsid w:val="00E22E5E"/>
    <w:rsid w:val="00E242D1"/>
    <w:rsid w:val="00E256CD"/>
    <w:rsid w:val="00E444E9"/>
    <w:rsid w:val="00E52FBE"/>
    <w:rsid w:val="00E57474"/>
    <w:rsid w:val="00E6051D"/>
    <w:rsid w:val="00E621A4"/>
    <w:rsid w:val="00E62CE0"/>
    <w:rsid w:val="00E65ABA"/>
    <w:rsid w:val="00E7451F"/>
    <w:rsid w:val="00E8147E"/>
    <w:rsid w:val="00E81512"/>
    <w:rsid w:val="00E81FA8"/>
    <w:rsid w:val="00E92AD8"/>
    <w:rsid w:val="00E9385F"/>
    <w:rsid w:val="00E93887"/>
    <w:rsid w:val="00E95290"/>
    <w:rsid w:val="00EA248B"/>
    <w:rsid w:val="00EA2C51"/>
    <w:rsid w:val="00EA2E75"/>
    <w:rsid w:val="00EA3D52"/>
    <w:rsid w:val="00EB1031"/>
    <w:rsid w:val="00EB5BA6"/>
    <w:rsid w:val="00EB7345"/>
    <w:rsid w:val="00EC0431"/>
    <w:rsid w:val="00EC4E44"/>
    <w:rsid w:val="00EC5D5C"/>
    <w:rsid w:val="00ED1DC1"/>
    <w:rsid w:val="00ED50A6"/>
    <w:rsid w:val="00EE17BB"/>
    <w:rsid w:val="00EE2668"/>
    <w:rsid w:val="00EE4511"/>
    <w:rsid w:val="00EE6800"/>
    <w:rsid w:val="00EE6E61"/>
    <w:rsid w:val="00EF0821"/>
    <w:rsid w:val="00EF32E7"/>
    <w:rsid w:val="00EF4084"/>
    <w:rsid w:val="00EF4A31"/>
    <w:rsid w:val="00F018E9"/>
    <w:rsid w:val="00F02C07"/>
    <w:rsid w:val="00F038E6"/>
    <w:rsid w:val="00F06800"/>
    <w:rsid w:val="00F1193D"/>
    <w:rsid w:val="00F1426B"/>
    <w:rsid w:val="00F248D1"/>
    <w:rsid w:val="00F250B3"/>
    <w:rsid w:val="00F300CC"/>
    <w:rsid w:val="00F32642"/>
    <w:rsid w:val="00F378FC"/>
    <w:rsid w:val="00F40D98"/>
    <w:rsid w:val="00F4107E"/>
    <w:rsid w:val="00F42570"/>
    <w:rsid w:val="00F42691"/>
    <w:rsid w:val="00F4287F"/>
    <w:rsid w:val="00F455A3"/>
    <w:rsid w:val="00F459D0"/>
    <w:rsid w:val="00F50B0C"/>
    <w:rsid w:val="00F5323C"/>
    <w:rsid w:val="00F544AB"/>
    <w:rsid w:val="00F5498F"/>
    <w:rsid w:val="00F54D37"/>
    <w:rsid w:val="00F564AE"/>
    <w:rsid w:val="00F638D0"/>
    <w:rsid w:val="00F64388"/>
    <w:rsid w:val="00F67D60"/>
    <w:rsid w:val="00F72340"/>
    <w:rsid w:val="00F73D8F"/>
    <w:rsid w:val="00F75989"/>
    <w:rsid w:val="00F7620B"/>
    <w:rsid w:val="00F80F63"/>
    <w:rsid w:val="00F8242B"/>
    <w:rsid w:val="00F82E05"/>
    <w:rsid w:val="00F8375E"/>
    <w:rsid w:val="00F84778"/>
    <w:rsid w:val="00FA4C0D"/>
    <w:rsid w:val="00FA4E16"/>
    <w:rsid w:val="00FA78A5"/>
    <w:rsid w:val="00FA7AE7"/>
    <w:rsid w:val="00FB2053"/>
    <w:rsid w:val="00FB4B72"/>
    <w:rsid w:val="00FB4C7F"/>
    <w:rsid w:val="00FB7C9A"/>
    <w:rsid w:val="00FC4184"/>
    <w:rsid w:val="00FC73F7"/>
    <w:rsid w:val="00FC7A6D"/>
    <w:rsid w:val="00FD101A"/>
    <w:rsid w:val="00FD348F"/>
    <w:rsid w:val="00FD4106"/>
    <w:rsid w:val="00FD69C1"/>
    <w:rsid w:val="00FD7D4E"/>
    <w:rsid w:val="00FF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77B9"/>
  <w15:docId w15:val="{74C64CD7-DF7A-0548-87AB-1F294956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57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4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7534B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534B5"/>
    <w:rPr>
      <w:rFonts w:ascii="Tahoma" w:hAnsi="Tahoma" w:cs="Tahoma"/>
      <w:sz w:val="16"/>
      <w:szCs w:val="16"/>
      <w:lang w:eastAsia="en-US"/>
    </w:rPr>
  </w:style>
  <w:style w:type="paragraph" w:styleId="En-tte">
    <w:name w:val="header"/>
    <w:basedOn w:val="Normal"/>
    <w:link w:val="En-tteCar"/>
    <w:uiPriority w:val="99"/>
    <w:unhideWhenUsed/>
    <w:rsid w:val="008C319A"/>
    <w:pPr>
      <w:tabs>
        <w:tab w:val="center" w:pos="4536"/>
        <w:tab w:val="right" w:pos="9072"/>
      </w:tabs>
    </w:pPr>
  </w:style>
  <w:style w:type="character" w:customStyle="1" w:styleId="En-tteCar">
    <w:name w:val="En-tête Car"/>
    <w:link w:val="En-tte"/>
    <w:uiPriority w:val="99"/>
    <w:rsid w:val="008C319A"/>
    <w:rPr>
      <w:sz w:val="22"/>
      <w:szCs w:val="22"/>
      <w:lang w:eastAsia="en-US"/>
    </w:rPr>
  </w:style>
  <w:style w:type="paragraph" w:styleId="Pieddepage">
    <w:name w:val="footer"/>
    <w:basedOn w:val="Normal"/>
    <w:link w:val="PieddepageCar"/>
    <w:uiPriority w:val="99"/>
    <w:unhideWhenUsed/>
    <w:rsid w:val="008C319A"/>
    <w:pPr>
      <w:tabs>
        <w:tab w:val="center" w:pos="4536"/>
        <w:tab w:val="right" w:pos="9072"/>
      </w:tabs>
    </w:pPr>
  </w:style>
  <w:style w:type="character" w:customStyle="1" w:styleId="PieddepageCar">
    <w:name w:val="Pied de page Car"/>
    <w:link w:val="Pieddepage"/>
    <w:uiPriority w:val="99"/>
    <w:rsid w:val="008C319A"/>
    <w:rPr>
      <w:sz w:val="22"/>
      <w:szCs w:val="22"/>
      <w:lang w:eastAsia="en-US"/>
    </w:rPr>
  </w:style>
  <w:style w:type="paragraph" w:styleId="Paragraphedeliste">
    <w:name w:val="List Paragraph"/>
    <w:basedOn w:val="Normal"/>
    <w:uiPriority w:val="34"/>
    <w:qFormat/>
    <w:rsid w:val="0034645D"/>
    <w:pPr>
      <w:spacing w:after="0"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065B0C"/>
    <w:rPr>
      <w:sz w:val="16"/>
      <w:szCs w:val="16"/>
    </w:rPr>
  </w:style>
  <w:style w:type="paragraph" w:styleId="Commentaire">
    <w:name w:val="annotation text"/>
    <w:basedOn w:val="Normal"/>
    <w:link w:val="CommentaireCar"/>
    <w:uiPriority w:val="99"/>
    <w:unhideWhenUsed/>
    <w:rsid w:val="00065B0C"/>
    <w:pPr>
      <w:spacing w:after="0" w:line="240" w:lineRule="auto"/>
    </w:pPr>
    <w:rPr>
      <w:rFonts w:ascii="Times New Roman" w:eastAsia="Times New Roman" w:hAnsi="Times New Roman"/>
      <w:sz w:val="20"/>
      <w:szCs w:val="20"/>
    </w:rPr>
  </w:style>
  <w:style w:type="character" w:customStyle="1" w:styleId="CommentaireCar">
    <w:name w:val="Commentaire Car"/>
    <w:link w:val="Commentaire"/>
    <w:uiPriority w:val="99"/>
    <w:rsid w:val="00065B0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C6464D"/>
    <w:pPr>
      <w:spacing w:after="200" w:line="276" w:lineRule="auto"/>
    </w:pPr>
    <w:rPr>
      <w:b/>
      <w:bCs/>
    </w:rPr>
  </w:style>
  <w:style w:type="character" w:customStyle="1" w:styleId="ObjetducommentaireCar">
    <w:name w:val="Objet du commentaire Car"/>
    <w:link w:val="Objetducommentaire"/>
    <w:uiPriority w:val="99"/>
    <w:semiHidden/>
    <w:rsid w:val="00C6464D"/>
    <w:rPr>
      <w:rFonts w:ascii="Times New Roman" w:eastAsia="Times New Roman" w:hAnsi="Times New Roman"/>
      <w:b/>
      <w:bCs/>
      <w:lang w:eastAsia="en-US"/>
    </w:rPr>
  </w:style>
  <w:style w:type="paragraph" w:styleId="Notedebasdepage">
    <w:name w:val="footnote text"/>
    <w:basedOn w:val="Normal"/>
    <w:link w:val="NotedebasdepageCar"/>
    <w:uiPriority w:val="99"/>
    <w:semiHidden/>
    <w:unhideWhenUsed/>
    <w:rsid w:val="00AC5ECB"/>
    <w:rPr>
      <w:sz w:val="20"/>
      <w:szCs w:val="20"/>
    </w:rPr>
  </w:style>
  <w:style w:type="character" w:customStyle="1" w:styleId="NotedebasdepageCar">
    <w:name w:val="Note de bas de page Car"/>
    <w:link w:val="Notedebasdepage"/>
    <w:uiPriority w:val="99"/>
    <w:semiHidden/>
    <w:rsid w:val="00AC5ECB"/>
    <w:rPr>
      <w:lang w:eastAsia="en-US"/>
    </w:rPr>
  </w:style>
  <w:style w:type="character" w:styleId="Appelnotedebasdep">
    <w:name w:val="footnote reference"/>
    <w:uiPriority w:val="99"/>
    <w:unhideWhenUsed/>
    <w:rsid w:val="00AC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E65B-A363-4EAA-AD34-05626092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6027</Words>
  <Characters>33153</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Module de formation N° :</vt:lpstr>
    </vt:vector>
  </TitlesOfParts>
  <Company>Rectorat Aix-Marseille</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de formation N° :</dc:title>
  <dc:creator>THIERRY LEFEUVRE</dc:creator>
  <cp:lastModifiedBy>Karine BARBIERE-JUNG</cp:lastModifiedBy>
  <cp:revision>10</cp:revision>
  <cp:lastPrinted>2018-11-23T10:23:00Z</cp:lastPrinted>
  <dcterms:created xsi:type="dcterms:W3CDTF">2019-01-15T14:13:00Z</dcterms:created>
  <dcterms:modified xsi:type="dcterms:W3CDTF">2019-01-27T09:32:00Z</dcterms:modified>
</cp:coreProperties>
</file>