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E2A9" w14:textId="77777777" w:rsidR="00BF7A77" w:rsidRPr="00A9054F" w:rsidRDefault="00BF7A77" w:rsidP="00BF7A77">
      <w:pPr>
        <w:jc w:val="center"/>
        <w:rPr>
          <w:rFonts w:ascii="Arial" w:hAnsi="Arial" w:cs="Arial"/>
          <w:b/>
          <w:sz w:val="32"/>
          <w:szCs w:val="32"/>
        </w:rPr>
      </w:pPr>
      <w:bookmarkStart w:id="0" w:name="_GoBack"/>
      <w:bookmarkEnd w:id="0"/>
      <w:r w:rsidRPr="00A9054F">
        <w:rPr>
          <w:rFonts w:ascii="Arial" w:hAnsi="Arial" w:cs="Arial"/>
          <w:b/>
          <w:sz w:val="32"/>
          <w:szCs w:val="32"/>
        </w:rPr>
        <w:t>Dossier élève</w:t>
      </w:r>
    </w:p>
    <w:p w14:paraId="73D6FDD1" w14:textId="55C15554" w:rsidR="00BF7A77" w:rsidRDefault="00BF7A77" w:rsidP="005E528C">
      <w:pPr>
        <w:widowControl w:val="0"/>
        <w:autoSpaceDE w:val="0"/>
        <w:autoSpaceDN w:val="0"/>
        <w:adjustRightInd w:val="0"/>
        <w:spacing w:after="0" w:line="240" w:lineRule="auto"/>
        <w:jc w:val="both"/>
        <w:rPr>
          <w:rFonts w:ascii="Arial" w:hAnsi="Arial" w:cs="Arial"/>
          <w:b/>
        </w:rPr>
      </w:pPr>
      <w:r>
        <w:rPr>
          <w:rFonts w:ascii="Arial" w:hAnsi="Arial" w:cs="Arial"/>
          <w:b/>
        </w:rPr>
        <w:t>Comment le droit organise-t-il la loyauté de la concurrence ?</w:t>
      </w:r>
    </w:p>
    <w:p w14:paraId="6805DEDA" w14:textId="627BDFF4" w:rsidR="00BF7A77" w:rsidRDefault="00BF7A77" w:rsidP="005E528C">
      <w:pPr>
        <w:widowControl w:val="0"/>
        <w:autoSpaceDE w:val="0"/>
        <w:autoSpaceDN w:val="0"/>
        <w:adjustRightInd w:val="0"/>
        <w:spacing w:after="0" w:line="240" w:lineRule="auto"/>
        <w:jc w:val="both"/>
        <w:rPr>
          <w:rFonts w:ascii="Arial" w:hAnsi="Arial" w:cs="Arial"/>
          <w:b/>
        </w:rPr>
      </w:pPr>
      <w:r>
        <w:rPr>
          <w:rFonts w:ascii="Arial" w:hAnsi="Arial" w:cs="Arial"/>
          <w:b/>
        </w:rPr>
        <w:t>« La société Emball’tout »</w:t>
      </w:r>
    </w:p>
    <w:p w14:paraId="5731F969" w14:textId="5D26D3EF" w:rsidR="00BF7A77" w:rsidRDefault="00BF7A77" w:rsidP="005E528C">
      <w:pPr>
        <w:widowControl w:val="0"/>
        <w:autoSpaceDE w:val="0"/>
        <w:autoSpaceDN w:val="0"/>
        <w:adjustRightInd w:val="0"/>
        <w:spacing w:after="0" w:line="240" w:lineRule="auto"/>
        <w:jc w:val="both"/>
        <w:rPr>
          <w:rFonts w:ascii="Arial" w:hAnsi="Arial" w:cs="Arial"/>
          <w:b/>
        </w:rPr>
      </w:pPr>
    </w:p>
    <w:p w14:paraId="029BD043" w14:textId="77777777" w:rsidR="00642D6A" w:rsidRDefault="00642D6A" w:rsidP="005E528C">
      <w:pPr>
        <w:widowControl w:val="0"/>
        <w:autoSpaceDE w:val="0"/>
        <w:autoSpaceDN w:val="0"/>
        <w:adjustRightInd w:val="0"/>
        <w:spacing w:after="0" w:line="240" w:lineRule="auto"/>
        <w:jc w:val="both"/>
        <w:rPr>
          <w:b/>
        </w:rPr>
      </w:pPr>
    </w:p>
    <w:p w14:paraId="2804E7F6" w14:textId="233790A6" w:rsidR="00EA5745" w:rsidRDefault="00DD1E45" w:rsidP="005E528C">
      <w:pPr>
        <w:widowControl w:val="0"/>
        <w:autoSpaceDE w:val="0"/>
        <w:autoSpaceDN w:val="0"/>
        <w:adjustRightInd w:val="0"/>
        <w:spacing w:after="0" w:line="240" w:lineRule="auto"/>
        <w:jc w:val="both"/>
        <w:rPr>
          <w:rFonts w:ascii="Arial" w:hAnsi="Arial" w:cs="Arial"/>
        </w:rPr>
      </w:pPr>
      <w:r w:rsidRPr="004D2478">
        <w:rPr>
          <w:rFonts w:ascii="Arial" w:hAnsi="Arial"/>
        </w:rPr>
        <w:t>La société Emball’tout est spécialisée dans l’em</w:t>
      </w:r>
      <w:r w:rsidR="00642D6A">
        <w:rPr>
          <w:rFonts w:ascii="Arial" w:hAnsi="Arial"/>
        </w:rPr>
        <w:t xml:space="preserve">ballage </w:t>
      </w:r>
      <w:r w:rsidR="00EA5745" w:rsidRPr="004D2478">
        <w:rPr>
          <w:rFonts w:ascii="Arial" w:hAnsi="Arial"/>
        </w:rPr>
        <w:t xml:space="preserve">alimentaire : </w:t>
      </w:r>
      <w:r w:rsidR="004F6760" w:rsidRPr="004D2478">
        <w:rPr>
          <w:rFonts w:ascii="Arial" w:hAnsi="Arial"/>
        </w:rPr>
        <w:t>elle propose</w:t>
      </w:r>
      <w:r w:rsidR="0000623D" w:rsidRPr="004D2478">
        <w:rPr>
          <w:rFonts w:ascii="Arial" w:hAnsi="Arial"/>
        </w:rPr>
        <w:t xml:space="preserve"> d</w:t>
      </w:r>
      <w:r w:rsidR="0099030B" w:rsidRPr="004D2478">
        <w:rPr>
          <w:rFonts w:ascii="Arial" w:hAnsi="Arial" w:cs="Arial"/>
        </w:rPr>
        <w:t xml:space="preserve">es emballages qui conservent et mettent en valeur les denrées grâce à des produits design et de haute technologie. </w:t>
      </w:r>
      <w:r w:rsidR="00E934A2" w:rsidRPr="004D2478">
        <w:rPr>
          <w:rFonts w:ascii="Arial" w:hAnsi="Arial" w:cs="Arial"/>
        </w:rPr>
        <w:t>Inès Colomb est la présidente de la société.</w:t>
      </w:r>
    </w:p>
    <w:p w14:paraId="25B4FB4F" w14:textId="77777777" w:rsidR="00CF4EC0" w:rsidRPr="004D2478" w:rsidRDefault="00CF4EC0" w:rsidP="005E528C">
      <w:pPr>
        <w:widowControl w:val="0"/>
        <w:autoSpaceDE w:val="0"/>
        <w:autoSpaceDN w:val="0"/>
        <w:adjustRightInd w:val="0"/>
        <w:spacing w:after="0" w:line="240" w:lineRule="auto"/>
        <w:jc w:val="both"/>
        <w:rPr>
          <w:rFonts w:ascii="Arial" w:hAnsi="Arial" w:cs="Arial"/>
        </w:rPr>
      </w:pPr>
    </w:p>
    <w:p w14:paraId="2B9262BB" w14:textId="6EEFE6D7" w:rsidR="00B02727" w:rsidRDefault="00A61B46" w:rsidP="005E528C">
      <w:pPr>
        <w:widowControl w:val="0"/>
        <w:autoSpaceDE w:val="0"/>
        <w:autoSpaceDN w:val="0"/>
        <w:adjustRightInd w:val="0"/>
        <w:spacing w:after="0" w:line="240" w:lineRule="auto"/>
        <w:jc w:val="both"/>
        <w:rPr>
          <w:rFonts w:ascii="Arial" w:hAnsi="Arial"/>
        </w:rPr>
      </w:pPr>
      <w:r w:rsidRPr="004D2478">
        <w:rPr>
          <w:rFonts w:ascii="Arial" w:hAnsi="Arial"/>
        </w:rPr>
        <w:t xml:space="preserve">Un de ses salariés, </w:t>
      </w:r>
      <w:r w:rsidR="004F6760" w:rsidRPr="004D2478">
        <w:rPr>
          <w:rFonts w:ascii="Arial" w:hAnsi="Arial"/>
        </w:rPr>
        <w:t>Maxenc</w:t>
      </w:r>
      <w:r w:rsidR="00370B9E" w:rsidRPr="004D2478">
        <w:rPr>
          <w:rFonts w:ascii="Arial" w:hAnsi="Arial"/>
        </w:rPr>
        <w:t xml:space="preserve">e </w:t>
      </w:r>
      <w:r w:rsidR="004F6760" w:rsidRPr="004D2478">
        <w:rPr>
          <w:rFonts w:ascii="Arial" w:hAnsi="Arial"/>
        </w:rPr>
        <w:t>Martinez démissionne et crée</w:t>
      </w:r>
      <w:r w:rsidR="00DD1E45" w:rsidRPr="004D2478">
        <w:rPr>
          <w:rFonts w:ascii="Arial" w:hAnsi="Arial"/>
        </w:rPr>
        <w:t xml:space="preserve"> une entreprise concurrente</w:t>
      </w:r>
      <w:r w:rsidR="00D74B78" w:rsidRPr="004D2478">
        <w:rPr>
          <w:rFonts w:ascii="Arial" w:hAnsi="Arial"/>
        </w:rPr>
        <w:t xml:space="preserve"> </w:t>
      </w:r>
      <w:r w:rsidR="00303CA1">
        <w:rPr>
          <w:rFonts w:ascii="Arial" w:hAnsi="Arial"/>
        </w:rPr>
        <w:t>Toute</w:t>
      </w:r>
      <w:r w:rsidR="006C674F" w:rsidRPr="004D2478">
        <w:rPr>
          <w:rFonts w:ascii="Arial" w:hAnsi="Arial"/>
        </w:rPr>
        <w:t>mball</w:t>
      </w:r>
      <w:r w:rsidR="00DD1E45" w:rsidRPr="004D2478">
        <w:rPr>
          <w:rFonts w:ascii="Arial" w:hAnsi="Arial"/>
        </w:rPr>
        <w:t xml:space="preserve">. </w:t>
      </w:r>
      <w:r w:rsidR="00431143" w:rsidRPr="004D2478">
        <w:rPr>
          <w:rFonts w:ascii="Arial" w:hAnsi="Arial"/>
        </w:rPr>
        <w:t xml:space="preserve">Son contrat de travail avec la société Emball’tout ne comportait pas de clause de non concurrence. </w:t>
      </w:r>
      <w:r w:rsidR="00910784" w:rsidRPr="004D2478">
        <w:rPr>
          <w:rFonts w:ascii="Arial" w:hAnsi="Arial"/>
        </w:rPr>
        <w:t>Il s’installe dans la même zone ind</w:t>
      </w:r>
      <w:r w:rsidR="00431143" w:rsidRPr="004D2478">
        <w:rPr>
          <w:rFonts w:ascii="Arial" w:hAnsi="Arial"/>
        </w:rPr>
        <w:t>ustrielle que son ex-entreprise</w:t>
      </w:r>
      <w:r w:rsidR="0000623D" w:rsidRPr="004D2478">
        <w:rPr>
          <w:rFonts w:ascii="Arial" w:hAnsi="Arial"/>
        </w:rPr>
        <w:t xml:space="preserve">. </w:t>
      </w:r>
      <w:r w:rsidR="00EA5745" w:rsidRPr="004D2478">
        <w:rPr>
          <w:rFonts w:ascii="Arial" w:hAnsi="Arial"/>
        </w:rPr>
        <w:t xml:space="preserve">Les couleurs </w:t>
      </w:r>
      <w:r w:rsidR="0000623D" w:rsidRPr="004D2478">
        <w:rPr>
          <w:rFonts w:ascii="Arial" w:hAnsi="Arial"/>
        </w:rPr>
        <w:t>choisies</w:t>
      </w:r>
      <w:r w:rsidR="00EA5745" w:rsidRPr="004D2478">
        <w:rPr>
          <w:rFonts w:ascii="Arial" w:hAnsi="Arial"/>
        </w:rPr>
        <w:t xml:space="preserve"> pour identi</w:t>
      </w:r>
      <w:r w:rsidR="0000623D" w:rsidRPr="004D2478">
        <w:rPr>
          <w:rFonts w:ascii="Arial" w:hAnsi="Arial"/>
        </w:rPr>
        <w:t>f</w:t>
      </w:r>
      <w:r w:rsidR="00EA5745" w:rsidRPr="004D2478">
        <w:rPr>
          <w:rFonts w:ascii="Arial" w:hAnsi="Arial"/>
        </w:rPr>
        <w:t xml:space="preserve">ier l’entreprise sont les mêmes que celles </w:t>
      </w:r>
      <w:r w:rsidR="0000623D" w:rsidRPr="004D2478">
        <w:rPr>
          <w:rFonts w:ascii="Arial" w:hAnsi="Arial"/>
        </w:rPr>
        <w:t>d’Emball’tout</w:t>
      </w:r>
      <w:r w:rsidR="00B02727" w:rsidRPr="004D2478">
        <w:rPr>
          <w:rFonts w:ascii="Arial" w:hAnsi="Arial"/>
        </w:rPr>
        <w:t xml:space="preserve">. </w:t>
      </w:r>
    </w:p>
    <w:p w14:paraId="400BE406" w14:textId="77777777" w:rsidR="00CF4EC0" w:rsidRPr="004D2478" w:rsidRDefault="00CF4EC0" w:rsidP="005E528C">
      <w:pPr>
        <w:widowControl w:val="0"/>
        <w:autoSpaceDE w:val="0"/>
        <w:autoSpaceDN w:val="0"/>
        <w:adjustRightInd w:val="0"/>
        <w:spacing w:after="0" w:line="240" w:lineRule="auto"/>
        <w:jc w:val="both"/>
        <w:rPr>
          <w:rFonts w:ascii="Arial" w:hAnsi="Arial"/>
        </w:rPr>
      </w:pPr>
    </w:p>
    <w:p w14:paraId="6B330BDB" w14:textId="2B19D8B9" w:rsidR="00EA5745" w:rsidRDefault="004D2478" w:rsidP="005E528C">
      <w:pPr>
        <w:widowControl w:val="0"/>
        <w:autoSpaceDE w:val="0"/>
        <w:autoSpaceDN w:val="0"/>
        <w:adjustRightInd w:val="0"/>
        <w:spacing w:after="0" w:line="240" w:lineRule="auto"/>
        <w:jc w:val="both"/>
        <w:rPr>
          <w:rFonts w:ascii="Arial" w:hAnsi="Arial"/>
        </w:rPr>
      </w:pPr>
      <w:r>
        <w:rPr>
          <w:rFonts w:ascii="Arial" w:hAnsi="Arial"/>
        </w:rPr>
        <w:t>C</w:t>
      </w:r>
      <w:r w:rsidR="004F6760" w:rsidRPr="004D2478">
        <w:rPr>
          <w:rFonts w:ascii="Arial" w:hAnsi="Arial"/>
        </w:rPr>
        <w:t>ertains clients ont confondu</w:t>
      </w:r>
      <w:r w:rsidR="0000623D" w:rsidRPr="004D2478">
        <w:rPr>
          <w:rFonts w:ascii="Arial" w:hAnsi="Arial"/>
        </w:rPr>
        <w:t xml:space="preserve"> les entreprises lors de leur commande à caus</w:t>
      </w:r>
      <w:r w:rsidR="00303CA1">
        <w:rPr>
          <w:rFonts w:ascii="Arial" w:hAnsi="Arial"/>
        </w:rPr>
        <w:t>e du nom et des couleurs similaires.</w:t>
      </w:r>
    </w:p>
    <w:p w14:paraId="199BEE93" w14:textId="77777777" w:rsidR="00CF4EC0" w:rsidRPr="004D2478" w:rsidRDefault="00CF4EC0" w:rsidP="005E528C">
      <w:pPr>
        <w:widowControl w:val="0"/>
        <w:autoSpaceDE w:val="0"/>
        <w:autoSpaceDN w:val="0"/>
        <w:adjustRightInd w:val="0"/>
        <w:spacing w:after="0" w:line="240" w:lineRule="auto"/>
        <w:jc w:val="both"/>
        <w:rPr>
          <w:rFonts w:ascii="Arial" w:hAnsi="Arial" w:cs="Arial"/>
        </w:rPr>
      </w:pPr>
    </w:p>
    <w:p w14:paraId="15E6518A" w14:textId="76211FCE" w:rsidR="00EA72B0" w:rsidRPr="004D2478" w:rsidRDefault="00580921" w:rsidP="005E528C">
      <w:pPr>
        <w:jc w:val="both"/>
        <w:rPr>
          <w:rFonts w:ascii="Arial" w:hAnsi="Arial"/>
        </w:rPr>
      </w:pPr>
      <w:r w:rsidRPr="004D2478">
        <w:rPr>
          <w:rFonts w:ascii="Arial" w:hAnsi="Arial"/>
        </w:rPr>
        <w:t>Auj</w:t>
      </w:r>
      <w:r w:rsidR="004D2478">
        <w:rPr>
          <w:rFonts w:ascii="Arial" w:hAnsi="Arial"/>
        </w:rPr>
        <w:t>ourd’hui, Inès Colomb apprend qu’un document publicitaire d</w:t>
      </w:r>
      <w:r w:rsidR="00303CA1">
        <w:rPr>
          <w:rFonts w:ascii="Arial" w:hAnsi="Arial"/>
        </w:rPr>
        <w:t>e la société Toute</w:t>
      </w:r>
      <w:r w:rsidRPr="004D2478">
        <w:rPr>
          <w:rFonts w:ascii="Arial" w:hAnsi="Arial"/>
        </w:rPr>
        <w:t>mball</w:t>
      </w:r>
      <w:r w:rsidR="004D2478">
        <w:rPr>
          <w:rFonts w:ascii="Arial" w:hAnsi="Arial"/>
        </w:rPr>
        <w:t xml:space="preserve"> indique</w:t>
      </w:r>
      <w:r w:rsidR="00D73A2B" w:rsidRPr="004D2478">
        <w:rPr>
          <w:rFonts w:ascii="Arial" w:hAnsi="Arial"/>
        </w:rPr>
        <w:t xml:space="preserve"> </w:t>
      </w:r>
      <w:r w:rsidRPr="004D2478">
        <w:rPr>
          <w:rFonts w:ascii="Arial" w:hAnsi="Arial"/>
        </w:rPr>
        <w:t>qu’</w:t>
      </w:r>
      <w:r w:rsidR="00164B26" w:rsidRPr="004D2478">
        <w:rPr>
          <w:rFonts w:ascii="Arial" w:hAnsi="Arial"/>
        </w:rPr>
        <w:t>elle était</w:t>
      </w:r>
      <w:r w:rsidRPr="004D2478">
        <w:rPr>
          <w:rFonts w:ascii="Arial" w:hAnsi="Arial"/>
        </w:rPr>
        <w:t xml:space="preserve"> la seule à proposer un produit fiable et de qualité. </w:t>
      </w:r>
    </w:p>
    <w:p w14:paraId="448E19E1" w14:textId="172201C5" w:rsidR="00DD1E45" w:rsidRPr="004D2478" w:rsidRDefault="004D2478" w:rsidP="005E528C">
      <w:pPr>
        <w:jc w:val="both"/>
        <w:rPr>
          <w:rFonts w:ascii="Arial" w:hAnsi="Arial"/>
        </w:rPr>
      </w:pPr>
      <w:r>
        <w:rPr>
          <w:rFonts w:ascii="Arial" w:hAnsi="Arial"/>
        </w:rPr>
        <w:t>A la s</w:t>
      </w:r>
      <w:r w:rsidR="0099030B" w:rsidRPr="004D2478">
        <w:rPr>
          <w:rFonts w:ascii="Arial" w:hAnsi="Arial"/>
        </w:rPr>
        <w:t xml:space="preserve">uite </w:t>
      </w:r>
      <w:r>
        <w:rPr>
          <w:rFonts w:ascii="Arial" w:hAnsi="Arial"/>
        </w:rPr>
        <w:t>de</w:t>
      </w:r>
      <w:r w:rsidR="008E0E88" w:rsidRPr="004D2478">
        <w:rPr>
          <w:rFonts w:ascii="Arial" w:hAnsi="Arial"/>
        </w:rPr>
        <w:t xml:space="preserve"> </w:t>
      </w:r>
      <w:r w:rsidR="0099030B" w:rsidRPr="004D2478">
        <w:rPr>
          <w:rFonts w:ascii="Arial" w:hAnsi="Arial"/>
        </w:rPr>
        <w:t xml:space="preserve">ces différents agissements, </w:t>
      </w:r>
      <w:r>
        <w:rPr>
          <w:rFonts w:ascii="Arial" w:hAnsi="Arial"/>
        </w:rPr>
        <w:t>Inès Colomb</w:t>
      </w:r>
      <w:r w:rsidR="006C674F" w:rsidRPr="004D2478">
        <w:rPr>
          <w:rFonts w:ascii="Arial" w:hAnsi="Arial"/>
        </w:rPr>
        <w:t xml:space="preserve"> constate une perte de clientèle importante et par cons</w:t>
      </w:r>
      <w:r w:rsidR="00580921" w:rsidRPr="004D2478">
        <w:rPr>
          <w:rFonts w:ascii="Arial" w:hAnsi="Arial"/>
        </w:rPr>
        <w:t>équent une diminution</w:t>
      </w:r>
      <w:r w:rsidR="006C674F" w:rsidRPr="004D2478">
        <w:rPr>
          <w:rFonts w:ascii="Arial" w:hAnsi="Arial"/>
        </w:rPr>
        <w:t xml:space="preserve"> de son chiffre d’a</w:t>
      </w:r>
      <w:r w:rsidR="00370B9E" w:rsidRPr="004D2478">
        <w:rPr>
          <w:rFonts w:ascii="Arial" w:hAnsi="Arial"/>
        </w:rPr>
        <w:t>ffaire</w:t>
      </w:r>
      <w:r>
        <w:rPr>
          <w:rFonts w:ascii="Arial" w:hAnsi="Arial"/>
        </w:rPr>
        <w:t>s</w:t>
      </w:r>
      <w:r w:rsidR="00370B9E" w:rsidRPr="004D2478">
        <w:rPr>
          <w:rFonts w:ascii="Arial" w:hAnsi="Arial"/>
        </w:rPr>
        <w:t xml:space="preserve">. </w:t>
      </w:r>
      <w:r w:rsidR="00870206" w:rsidRPr="004D2478">
        <w:rPr>
          <w:rFonts w:ascii="Arial" w:hAnsi="Arial"/>
        </w:rPr>
        <w:t>Elle vient vous demander conseil.</w:t>
      </w:r>
    </w:p>
    <w:p w14:paraId="17B08882" w14:textId="2D31E635" w:rsidR="00370B9E" w:rsidRDefault="00B01AA7" w:rsidP="005E528C">
      <w:pPr>
        <w:pStyle w:val="Paragraphedeliste"/>
        <w:numPr>
          <w:ilvl w:val="0"/>
          <w:numId w:val="1"/>
        </w:numPr>
        <w:jc w:val="both"/>
        <w:rPr>
          <w:rFonts w:ascii="Arial" w:hAnsi="Arial"/>
        </w:rPr>
      </w:pPr>
      <w:r w:rsidRPr="004D2478">
        <w:rPr>
          <w:rFonts w:ascii="Arial" w:hAnsi="Arial"/>
        </w:rPr>
        <w:t>Indiquez en vertu de quels principes de la liberté du commerce et de l’indu</w:t>
      </w:r>
      <w:r w:rsidR="00580921" w:rsidRPr="004D2478">
        <w:rPr>
          <w:rFonts w:ascii="Arial" w:hAnsi="Arial"/>
        </w:rPr>
        <w:t xml:space="preserve">strie, Maxence Martinez peut </w:t>
      </w:r>
      <w:r w:rsidRPr="004D2478">
        <w:rPr>
          <w:rFonts w:ascii="Arial" w:hAnsi="Arial"/>
        </w:rPr>
        <w:t>créer son entreprise.</w:t>
      </w:r>
    </w:p>
    <w:p w14:paraId="6E593D84" w14:textId="77777777" w:rsidR="00CF4EC0" w:rsidRPr="004D2478" w:rsidRDefault="00CF4EC0" w:rsidP="00CF4EC0">
      <w:pPr>
        <w:pStyle w:val="Paragraphedeliste"/>
        <w:jc w:val="both"/>
        <w:rPr>
          <w:rFonts w:ascii="Arial" w:hAnsi="Arial"/>
        </w:rPr>
      </w:pPr>
    </w:p>
    <w:p w14:paraId="272FF534" w14:textId="7099EEFB" w:rsidR="001E4F82" w:rsidRDefault="004D2478" w:rsidP="005E528C">
      <w:pPr>
        <w:pStyle w:val="Paragraphedeliste"/>
        <w:numPr>
          <w:ilvl w:val="0"/>
          <w:numId w:val="1"/>
        </w:numPr>
        <w:jc w:val="both"/>
        <w:rPr>
          <w:rFonts w:ascii="Arial" w:hAnsi="Arial"/>
        </w:rPr>
      </w:pPr>
      <w:r>
        <w:rPr>
          <w:rFonts w:ascii="Arial" w:hAnsi="Arial"/>
        </w:rPr>
        <w:t>A l’aide des annexes 1 et 2, r</w:t>
      </w:r>
      <w:r w:rsidR="00431143" w:rsidRPr="004D2478">
        <w:rPr>
          <w:rFonts w:ascii="Arial" w:hAnsi="Arial"/>
        </w:rPr>
        <w:t>epérez</w:t>
      </w:r>
      <w:r w:rsidR="00580921" w:rsidRPr="004D2478">
        <w:rPr>
          <w:rFonts w:ascii="Arial" w:hAnsi="Arial"/>
        </w:rPr>
        <w:t xml:space="preserve"> les actes d</w:t>
      </w:r>
      <w:r w:rsidR="001E4F82" w:rsidRPr="004D2478">
        <w:rPr>
          <w:rFonts w:ascii="Arial" w:hAnsi="Arial"/>
        </w:rPr>
        <w:t xml:space="preserve">e </w:t>
      </w:r>
      <w:r w:rsidR="008207D4" w:rsidRPr="004D2478">
        <w:rPr>
          <w:rFonts w:ascii="Arial" w:hAnsi="Arial"/>
        </w:rPr>
        <w:t>concurrence</w:t>
      </w:r>
      <w:r w:rsidR="001E4F82" w:rsidRPr="004D2478">
        <w:rPr>
          <w:rFonts w:ascii="Arial" w:hAnsi="Arial"/>
        </w:rPr>
        <w:t xml:space="preserve"> </w:t>
      </w:r>
      <w:r w:rsidR="00431143" w:rsidRPr="004D2478">
        <w:rPr>
          <w:rFonts w:ascii="Arial" w:hAnsi="Arial"/>
        </w:rPr>
        <w:t xml:space="preserve">loyale et déloyale </w:t>
      </w:r>
      <w:r w:rsidR="008207D4" w:rsidRPr="004D2478">
        <w:rPr>
          <w:rFonts w:ascii="Arial" w:hAnsi="Arial"/>
        </w:rPr>
        <w:t>apparaissant</w:t>
      </w:r>
      <w:r w:rsidR="00431143" w:rsidRPr="004D2478">
        <w:rPr>
          <w:rFonts w:ascii="Arial" w:hAnsi="Arial"/>
        </w:rPr>
        <w:t xml:space="preserve"> dans la situation puis qualifier les actes de concurrence déloyale. </w:t>
      </w:r>
    </w:p>
    <w:p w14:paraId="1CA12E45" w14:textId="77777777" w:rsidR="00CF4EC0" w:rsidRDefault="00CF4EC0" w:rsidP="00CF4EC0">
      <w:pPr>
        <w:pStyle w:val="Paragraphedeliste"/>
        <w:rPr>
          <w:rFonts w:ascii="Arial" w:hAnsi="Arial"/>
        </w:rPr>
      </w:pPr>
    </w:p>
    <w:p w14:paraId="79076E6C" w14:textId="6E78CF27" w:rsidR="0023419A" w:rsidRDefault="00303CA1" w:rsidP="005E528C">
      <w:pPr>
        <w:pStyle w:val="Paragraphedeliste"/>
        <w:numPr>
          <w:ilvl w:val="0"/>
          <w:numId w:val="1"/>
        </w:numPr>
        <w:jc w:val="both"/>
        <w:rPr>
          <w:rFonts w:ascii="Arial" w:hAnsi="Arial"/>
        </w:rPr>
      </w:pPr>
      <w:r>
        <w:rPr>
          <w:rFonts w:ascii="Arial" w:hAnsi="Arial"/>
        </w:rPr>
        <w:t>Identifiez</w:t>
      </w:r>
      <w:r w:rsidR="00294070">
        <w:rPr>
          <w:rFonts w:ascii="Arial" w:hAnsi="Arial"/>
        </w:rPr>
        <w:t xml:space="preserve"> les dommages</w:t>
      </w:r>
      <w:r w:rsidR="0023419A" w:rsidRPr="004D2478">
        <w:rPr>
          <w:rFonts w:ascii="Arial" w:hAnsi="Arial"/>
        </w:rPr>
        <w:t xml:space="preserve"> subis par la société Emball’tout.</w:t>
      </w:r>
    </w:p>
    <w:p w14:paraId="2BAFECF3" w14:textId="77777777" w:rsidR="00CF4EC0" w:rsidRPr="004D2478" w:rsidRDefault="00CF4EC0" w:rsidP="00CF4EC0">
      <w:pPr>
        <w:pStyle w:val="Paragraphedeliste"/>
        <w:jc w:val="both"/>
        <w:rPr>
          <w:rFonts w:ascii="Arial" w:hAnsi="Arial"/>
        </w:rPr>
      </w:pPr>
    </w:p>
    <w:p w14:paraId="6ABFE404" w14:textId="35AA400D" w:rsidR="009C2D6C" w:rsidRPr="004D2478" w:rsidRDefault="00EA72B0" w:rsidP="005E528C">
      <w:pPr>
        <w:jc w:val="both"/>
        <w:rPr>
          <w:rFonts w:ascii="Arial" w:hAnsi="Arial" w:cs="Arial"/>
        </w:rPr>
      </w:pPr>
      <w:r w:rsidRPr="004D2478">
        <w:rPr>
          <w:rFonts w:ascii="Arial" w:hAnsi="Arial"/>
        </w:rPr>
        <w:t>Par ailleurs, la société Emball</w:t>
      </w:r>
      <w:r w:rsidR="00303CA1">
        <w:rPr>
          <w:rFonts w:ascii="Arial" w:hAnsi="Arial"/>
        </w:rPr>
        <w:t>’</w:t>
      </w:r>
      <w:r w:rsidRPr="004D2478">
        <w:rPr>
          <w:rFonts w:ascii="Arial" w:hAnsi="Arial"/>
        </w:rPr>
        <w:t>tout apprend que la</w:t>
      </w:r>
      <w:r w:rsidR="009C2D6C" w:rsidRPr="004D2478">
        <w:rPr>
          <w:rFonts w:ascii="Arial" w:hAnsi="Arial"/>
        </w:rPr>
        <w:t xml:space="preserve"> so</w:t>
      </w:r>
      <w:r w:rsidR="005137DE" w:rsidRPr="004D2478">
        <w:rPr>
          <w:rFonts w:ascii="Arial" w:hAnsi="Arial"/>
        </w:rPr>
        <w:t>c</w:t>
      </w:r>
      <w:r w:rsidR="009C2D6C" w:rsidRPr="004D2478">
        <w:rPr>
          <w:rFonts w:ascii="Arial" w:hAnsi="Arial"/>
        </w:rPr>
        <w:t xml:space="preserve">iété </w:t>
      </w:r>
      <w:r w:rsidR="00303CA1">
        <w:rPr>
          <w:rFonts w:ascii="Arial" w:hAnsi="Arial"/>
        </w:rPr>
        <w:t xml:space="preserve">Toutemball </w:t>
      </w:r>
      <w:r w:rsidR="009C2D6C" w:rsidRPr="004D2478">
        <w:rPr>
          <w:rFonts w:ascii="Arial" w:hAnsi="Arial"/>
        </w:rPr>
        <w:t>a repris l’intégralité de</w:t>
      </w:r>
      <w:r w:rsidR="00D55A89" w:rsidRPr="004D2478">
        <w:rPr>
          <w:rFonts w:ascii="Arial" w:hAnsi="Arial"/>
        </w:rPr>
        <w:t xml:space="preserve"> se</w:t>
      </w:r>
      <w:r w:rsidR="009C2D6C" w:rsidRPr="004D2478">
        <w:rPr>
          <w:rFonts w:ascii="Arial" w:hAnsi="Arial"/>
        </w:rPr>
        <w:t xml:space="preserve">s conditions </w:t>
      </w:r>
      <w:r w:rsidR="00EB0023" w:rsidRPr="004D2478">
        <w:rPr>
          <w:rFonts w:ascii="Arial" w:hAnsi="Arial"/>
        </w:rPr>
        <w:t>générales</w:t>
      </w:r>
      <w:r w:rsidR="009C2D6C" w:rsidRPr="004D2478">
        <w:rPr>
          <w:rFonts w:ascii="Arial" w:hAnsi="Arial"/>
        </w:rPr>
        <w:t xml:space="preserve"> de vente sur son propre site</w:t>
      </w:r>
      <w:r w:rsidR="0015668F" w:rsidRPr="004D2478">
        <w:rPr>
          <w:rFonts w:ascii="Arial" w:hAnsi="Arial"/>
        </w:rPr>
        <w:t xml:space="preserve"> </w:t>
      </w:r>
      <w:r w:rsidR="004D2478">
        <w:rPr>
          <w:rFonts w:ascii="Arial" w:hAnsi="Arial"/>
        </w:rPr>
        <w:t>Internet</w:t>
      </w:r>
      <w:r w:rsidR="009C2D6C" w:rsidRPr="004D2478">
        <w:rPr>
          <w:rFonts w:ascii="Arial" w:hAnsi="Arial"/>
        </w:rPr>
        <w:t xml:space="preserve">. </w:t>
      </w:r>
      <w:r w:rsidR="00590B4B">
        <w:rPr>
          <w:rFonts w:ascii="Arial" w:hAnsi="Arial"/>
        </w:rPr>
        <w:t>Or, Inès Colomb</w:t>
      </w:r>
      <w:r w:rsidR="00D74B78" w:rsidRPr="004D2478">
        <w:rPr>
          <w:rFonts w:ascii="Arial" w:hAnsi="Arial"/>
        </w:rPr>
        <w:t xml:space="preserve"> </w:t>
      </w:r>
      <w:r w:rsidR="00303CA1">
        <w:rPr>
          <w:rFonts w:ascii="Arial" w:hAnsi="Arial"/>
        </w:rPr>
        <w:t>a eu recours à un cabinet</w:t>
      </w:r>
      <w:r w:rsidR="004D2478">
        <w:rPr>
          <w:rFonts w:ascii="Arial" w:hAnsi="Arial"/>
        </w:rPr>
        <w:t xml:space="preserve"> de conseils juridiques pour élaborer ce document et a ainsi dépensé des sommes importantes.</w:t>
      </w:r>
      <w:r w:rsidR="009C2D6C" w:rsidRPr="004D2478">
        <w:rPr>
          <w:rFonts w:ascii="Arial" w:hAnsi="Arial"/>
        </w:rPr>
        <w:t xml:space="preserve"> </w:t>
      </w:r>
    </w:p>
    <w:p w14:paraId="49DCB357" w14:textId="68E0B0A4" w:rsidR="002E0412" w:rsidRPr="00642D6A" w:rsidRDefault="00EB0023" w:rsidP="00642D6A">
      <w:pPr>
        <w:pStyle w:val="Paragraphedeliste"/>
        <w:numPr>
          <w:ilvl w:val="0"/>
          <w:numId w:val="1"/>
        </w:numPr>
        <w:jc w:val="both"/>
        <w:rPr>
          <w:rFonts w:ascii="Arial" w:hAnsi="Arial" w:cs="Arial"/>
        </w:rPr>
      </w:pPr>
      <w:r w:rsidRPr="004D2478">
        <w:rPr>
          <w:rFonts w:ascii="Arial" w:hAnsi="Arial" w:cs="Arial"/>
        </w:rPr>
        <w:t xml:space="preserve">En vous aidant </w:t>
      </w:r>
      <w:r w:rsidR="00C15134" w:rsidRPr="004D2478">
        <w:rPr>
          <w:rFonts w:ascii="Arial" w:hAnsi="Arial" w:cs="Arial"/>
        </w:rPr>
        <w:t>de</w:t>
      </w:r>
      <w:r w:rsidRPr="004D2478">
        <w:rPr>
          <w:rFonts w:ascii="Arial" w:hAnsi="Arial" w:cs="Arial"/>
        </w:rPr>
        <w:t xml:space="preserve"> l’extrait de</w:t>
      </w:r>
      <w:r w:rsidR="00C15134" w:rsidRPr="004D2478">
        <w:rPr>
          <w:rFonts w:ascii="Arial" w:hAnsi="Arial" w:cs="Arial"/>
        </w:rPr>
        <w:t xml:space="preserve"> l’arrêt de la cour de cassation</w:t>
      </w:r>
      <w:r w:rsidRPr="004D2478">
        <w:rPr>
          <w:rFonts w:ascii="Arial" w:hAnsi="Arial" w:cs="Arial"/>
        </w:rPr>
        <w:t xml:space="preserve"> du </w:t>
      </w:r>
      <w:r w:rsidR="00431143" w:rsidRPr="004D2478">
        <w:rPr>
          <w:rFonts w:ascii="Arial" w:hAnsi="Arial" w:cs="Arial"/>
        </w:rPr>
        <w:t>10 février 2015</w:t>
      </w:r>
      <w:r w:rsidR="00C15134" w:rsidRPr="004D2478">
        <w:rPr>
          <w:rFonts w:ascii="Arial" w:hAnsi="Arial" w:cs="Arial"/>
        </w:rPr>
        <w:t xml:space="preserve">, indiquez </w:t>
      </w:r>
      <w:r w:rsidRPr="004D2478">
        <w:rPr>
          <w:rFonts w:ascii="Arial" w:hAnsi="Arial" w:cs="Arial"/>
        </w:rPr>
        <w:t xml:space="preserve">ce </w:t>
      </w:r>
      <w:r w:rsidR="00303CA1">
        <w:rPr>
          <w:rFonts w:ascii="Arial" w:hAnsi="Arial" w:cs="Arial"/>
        </w:rPr>
        <w:t>que doit</w:t>
      </w:r>
      <w:r w:rsidR="00C15134" w:rsidRPr="004D2478">
        <w:rPr>
          <w:rFonts w:ascii="Arial" w:hAnsi="Arial" w:cs="Arial"/>
        </w:rPr>
        <w:t xml:space="preserve"> prouver la société </w:t>
      </w:r>
      <w:r w:rsidR="00303CA1">
        <w:rPr>
          <w:rFonts w:ascii="Arial" w:hAnsi="Arial" w:cs="Arial"/>
        </w:rPr>
        <w:t xml:space="preserve">Emball’tout </w:t>
      </w:r>
      <w:r w:rsidR="00C15134" w:rsidRPr="004D2478">
        <w:rPr>
          <w:rFonts w:ascii="Arial" w:hAnsi="Arial" w:cs="Arial"/>
        </w:rPr>
        <w:t>pour établir l</w:t>
      </w:r>
      <w:r w:rsidR="00674717" w:rsidRPr="004D2478">
        <w:rPr>
          <w:rFonts w:ascii="Arial" w:hAnsi="Arial" w:cs="Arial"/>
        </w:rPr>
        <w:t>a présence d’un acte de parasitisme.</w:t>
      </w:r>
    </w:p>
    <w:p w14:paraId="40183452" w14:textId="01DCA3AC" w:rsidR="00870206" w:rsidRPr="004F6760" w:rsidRDefault="00870206" w:rsidP="005E528C">
      <w:pPr>
        <w:jc w:val="both"/>
        <w:rPr>
          <w:rFonts w:ascii="Arial" w:hAnsi="Arial"/>
        </w:rPr>
      </w:pPr>
      <w:r w:rsidRPr="004F6760">
        <w:rPr>
          <w:rFonts w:ascii="Arial" w:hAnsi="Arial"/>
        </w:rPr>
        <w:t>Inès Colomb, souhaite agi</w:t>
      </w:r>
      <w:r w:rsidR="00E934A2">
        <w:rPr>
          <w:rFonts w:ascii="Arial" w:hAnsi="Arial"/>
        </w:rPr>
        <w:t>r en justice au nom de la société Emball’tout pour faire cesser l</w:t>
      </w:r>
      <w:r w:rsidRPr="004F6760">
        <w:rPr>
          <w:rFonts w:ascii="Arial" w:hAnsi="Arial"/>
        </w:rPr>
        <w:t>es agissements</w:t>
      </w:r>
      <w:r w:rsidR="00E934A2">
        <w:rPr>
          <w:rFonts w:ascii="Arial" w:hAnsi="Arial"/>
        </w:rPr>
        <w:t xml:space="preserve"> déloyaux</w:t>
      </w:r>
      <w:r w:rsidRPr="004F6760">
        <w:rPr>
          <w:rFonts w:ascii="Arial" w:hAnsi="Arial"/>
        </w:rPr>
        <w:t>. Elle vous demande conseil.</w:t>
      </w:r>
    </w:p>
    <w:p w14:paraId="016F0061" w14:textId="6579A26D" w:rsidR="00D74B78" w:rsidRDefault="00B7100C" w:rsidP="00642D6A">
      <w:pPr>
        <w:pStyle w:val="Paragraphedeliste"/>
        <w:numPr>
          <w:ilvl w:val="0"/>
          <w:numId w:val="1"/>
        </w:numPr>
        <w:jc w:val="both"/>
        <w:rPr>
          <w:rFonts w:ascii="Arial" w:hAnsi="Arial" w:cs="Arial"/>
          <w:color w:val="262626"/>
        </w:rPr>
      </w:pPr>
      <w:r>
        <w:rPr>
          <w:rFonts w:ascii="Arial" w:hAnsi="Arial" w:cs="Arial"/>
          <w:color w:val="262626"/>
        </w:rPr>
        <w:t>Rappelez les conditions à mettre en œuvre pour agir en responsabilité délictuelle.</w:t>
      </w:r>
    </w:p>
    <w:p w14:paraId="0659229E" w14:textId="77777777" w:rsidR="00642D6A" w:rsidRPr="00642D6A" w:rsidRDefault="00642D6A" w:rsidP="00642D6A">
      <w:pPr>
        <w:pStyle w:val="Paragraphedeliste"/>
        <w:jc w:val="both"/>
        <w:rPr>
          <w:rFonts w:ascii="Arial" w:hAnsi="Arial" w:cs="Arial"/>
          <w:color w:val="262626"/>
        </w:rPr>
      </w:pPr>
    </w:p>
    <w:p w14:paraId="1A6E317A" w14:textId="0790A259" w:rsidR="00D74B78" w:rsidRPr="00642D6A" w:rsidRDefault="00D74B78" w:rsidP="00D74B78">
      <w:pPr>
        <w:pStyle w:val="Paragraphedeliste"/>
        <w:numPr>
          <w:ilvl w:val="0"/>
          <w:numId w:val="1"/>
        </w:numPr>
        <w:autoSpaceDE w:val="0"/>
        <w:autoSpaceDN w:val="0"/>
        <w:adjustRightInd w:val="0"/>
        <w:spacing w:after="0" w:line="240" w:lineRule="auto"/>
        <w:rPr>
          <w:rFonts w:ascii="Arial" w:hAnsi="Arial" w:cs="Arial"/>
          <w:color w:val="000000"/>
        </w:rPr>
      </w:pPr>
      <w:r w:rsidRPr="00642D6A">
        <w:rPr>
          <w:rFonts w:ascii="Arial" w:hAnsi="Arial" w:cs="Arial"/>
          <w:bCs/>
          <w:color w:val="000000"/>
        </w:rPr>
        <w:t xml:space="preserve">Proposez l’argumentation juridique qui permettrait à la société </w:t>
      </w:r>
      <w:r w:rsidR="00411DC5" w:rsidRPr="00642D6A">
        <w:rPr>
          <w:rFonts w:ascii="Arial" w:hAnsi="Arial" w:cs="Arial"/>
          <w:bCs/>
          <w:color w:val="000000"/>
        </w:rPr>
        <w:t>Emball’tout d’engager l’action en concurrence d</w:t>
      </w:r>
      <w:r w:rsidR="00520499">
        <w:rPr>
          <w:rFonts w:ascii="Arial" w:hAnsi="Arial" w:cs="Arial"/>
          <w:bCs/>
          <w:color w:val="000000"/>
        </w:rPr>
        <w:t>éloyale contre la société Toute</w:t>
      </w:r>
      <w:r w:rsidR="00411DC5" w:rsidRPr="00642D6A">
        <w:rPr>
          <w:rFonts w:ascii="Arial" w:hAnsi="Arial" w:cs="Arial"/>
          <w:bCs/>
          <w:color w:val="000000"/>
        </w:rPr>
        <w:t>mball devant le juge.</w:t>
      </w:r>
      <w:r w:rsidRPr="00642D6A">
        <w:rPr>
          <w:rFonts w:ascii="Arial" w:hAnsi="Arial" w:cs="Arial"/>
          <w:bCs/>
          <w:color w:val="000000"/>
        </w:rPr>
        <w:t xml:space="preserve"> </w:t>
      </w:r>
    </w:p>
    <w:p w14:paraId="7B27493F" w14:textId="77777777" w:rsidR="00CF4EC0" w:rsidRDefault="00CF4EC0" w:rsidP="005E528C">
      <w:pPr>
        <w:widowControl w:val="0"/>
        <w:autoSpaceDE w:val="0"/>
        <w:autoSpaceDN w:val="0"/>
        <w:adjustRightInd w:val="0"/>
        <w:spacing w:after="0" w:line="240" w:lineRule="auto"/>
        <w:jc w:val="both"/>
        <w:rPr>
          <w:rFonts w:ascii="Arial" w:hAnsi="Arial"/>
        </w:rPr>
        <w:sectPr w:rsidR="00CF4EC0" w:rsidSect="00CF4EC0">
          <w:footerReference w:type="default" r:id="rId8"/>
          <w:pgSz w:w="11906" w:h="16838"/>
          <w:pgMar w:top="1134" w:right="1134" w:bottom="1134" w:left="1134" w:header="709" w:footer="709" w:gutter="0"/>
          <w:cols w:space="708"/>
          <w:docGrid w:linePitch="360"/>
        </w:sectPr>
      </w:pPr>
    </w:p>
    <w:p w14:paraId="51B19A5C" w14:textId="77777777" w:rsidR="00987AC1" w:rsidRPr="00A9054F" w:rsidRDefault="0029636C" w:rsidP="0029636C">
      <w:pPr>
        <w:widowControl w:val="0"/>
        <w:adjustRightInd w:val="0"/>
        <w:spacing w:before="100" w:beforeAutospacing="1"/>
        <w:jc w:val="both"/>
        <w:rPr>
          <w:rFonts w:ascii="Arial" w:hAnsi="Arial"/>
        </w:rPr>
      </w:pPr>
      <w:r w:rsidRPr="00A9054F">
        <w:rPr>
          <w:rFonts w:ascii="Arial" w:hAnsi="Arial"/>
        </w:rPr>
        <w:lastRenderedPageBreak/>
        <w:t xml:space="preserve">Le produit phare de la société Emball’tout est le « freezbag », </w:t>
      </w:r>
      <w:r w:rsidRPr="00A9054F">
        <w:rPr>
          <w:rFonts w:ascii="Arial" w:hAnsi="Arial" w:cs="Arial"/>
          <w:bCs/>
        </w:rPr>
        <w:t xml:space="preserve">une pochette réfrigérante alimentaire pour conserver des produits : </w:t>
      </w:r>
      <w:r w:rsidRPr="00A9054F">
        <w:rPr>
          <w:rFonts w:ascii="Arial" w:hAnsi="Arial" w:cs="Arial"/>
        </w:rPr>
        <w:t xml:space="preserve">chocolats, pâtisseries, foie gras, caviar, produits frais... </w:t>
      </w:r>
      <w:r w:rsidRPr="00A9054F">
        <w:rPr>
          <w:rFonts w:ascii="Arial" w:hAnsi="Arial"/>
        </w:rPr>
        <w:t xml:space="preserve">La marque a été déposée </w:t>
      </w:r>
      <w:r w:rsidRPr="00A9054F">
        <w:rPr>
          <w:rFonts w:ascii="Arial" w:hAnsi="Arial" w:cs="Arial"/>
        </w:rPr>
        <w:t xml:space="preserve">à l’INPI (Institut national de la propriété industrielle) le </w:t>
      </w:r>
      <w:r w:rsidRPr="00A9054F">
        <w:rPr>
          <w:rFonts w:ascii="Arial" w:hAnsi="Arial"/>
        </w:rPr>
        <w:t xml:space="preserve">24 février 2013. </w:t>
      </w:r>
    </w:p>
    <w:p w14:paraId="00EF068C" w14:textId="2B0E1685" w:rsidR="0029636C" w:rsidRDefault="0029636C" w:rsidP="0029636C">
      <w:pPr>
        <w:widowControl w:val="0"/>
        <w:adjustRightInd w:val="0"/>
        <w:spacing w:before="100" w:beforeAutospacing="1"/>
        <w:jc w:val="both"/>
      </w:pPr>
      <w:r w:rsidRPr="00A9054F">
        <w:rPr>
          <w:rFonts w:ascii="Arial" w:hAnsi="Arial"/>
        </w:rPr>
        <w:t xml:space="preserve">Maxence Martinez envisage d’utiliser </w:t>
      </w:r>
      <w:r w:rsidRPr="00A9054F">
        <w:rPr>
          <w:rFonts w:ascii="Arial" w:hAnsi="Arial" w:cs="Arial"/>
        </w:rPr>
        <w:t>le même nom</w:t>
      </w:r>
      <w:bookmarkStart w:id="1" w:name="_msoanchor_2"/>
      <w:r w:rsidRPr="00A9054F">
        <w:rPr>
          <w:rFonts w:ascii="Arial" w:hAnsi="Arial" w:cs="Arial"/>
        </w:rPr>
        <w:t xml:space="preserve"> </w:t>
      </w:r>
      <w:bookmarkEnd w:id="1"/>
      <w:r w:rsidRPr="00A9054F">
        <w:rPr>
          <w:rFonts w:ascii="Arial" w:hAnsi="Arial"/>
        </w:rPr>
        <w:t xml:space="preserve">pour l’un de ses produits similaires. Il se demande si Inès Colomb peut estimer que </w:t>
      </w:r>
      <w:r w:rsidRPr="00A9054F">
        <w:rPr>
          <w:rFonts w:ascii="Arial" w:hAnsi="Arial" w:cs="Arial"/>
          <w:bCs/>
        </w:rPr>
        <w:t>le nom de ce produit porte atteinte à l’image de sa société, et à sa notoriété. Il s</w:t>
      </w:r>
      <w:r w:rsidR="00A9054F">
        <w:rPr>
          <w:rFonts w:ascii="Arial" w:hAnsi="Arial" w:cs="Arial"/>
          <w:bCs/>
        </w:rPr>
        <w:t>’interroge</w:t>
      </w:r>
      <w:r w:rsidRPr="00A9054F">
        <w:rPr>
          <w:rFonts w:ascii="Arial" w:hAnsi="Arial" w:cs="Arial"/>
          <w:bCs/>
        </w:rPr>
        <w:t xml:space="preserve"> s</w:t>
      </w:r>
      <w:r w:rsidR="00A9054F">
        <w:rPr>
          <w:rFonts w:ascii="Arial" w:hAnsi="Arial" w:cs="Arial"/>
          <w:bCs/>
        </w:rPr>
        <w:t xml:space="preserve">ur </w:t>
      </w:r>
      <w:r w:rsidRPr="00A9054F">
        <w:rPr>
          <w:rFonts w:ascii="Arial" w:hAnsi="Arial" w:cs="Arial"/>
          <w:bCs/>
        </w:rPr>
        <w:t xml:space="preserve">la possibilité </w:t>
      </w:r>
      <w:r w:rsidR="00A9054F">
        <w:rPr>
          <w:rFonts w:ascii="Arial" w:hAnsi="Arial" w:cs="Arial"/>
          <w:bCs/>
        </w:rPr>
        <w:t xml:space="preserve">pour Inès Colomb </w:t>
      </w:r>
      <w:r w:rsidRPr="00A9054F">
        <w:rPr>
          <w:rFonts w:ascii="Arial" w:hAnsi="Arial" w:cs="Arial"/>
          <w:bCs/>
        </w:rPr>
        <w:t>d’agir en contrefaçon.</w:t>
      </w:r>
    </w:p>
    <w:p w14:paraId="44C6709D" w14:textId="0477C5CA" w:rsidR="005056B4" w:rsidRDefault="005056B4" w:rsidP="005E528C">
      <w:pPr>
        <w:pStyle w:val="Paragraphedeliste"/>
        <w:numPr>
          <w:ilvl w:val="0"/>
          <w:numId w:val="1"/>
        </w:numPr>
        <w:jc w:val="both"/>
        <w:rPr>
          <w:rFonts w:ascii="Arial" w:hAnsi="Arial"/>
        </w:rPr>
      </w:pPr>
      <w:r w:rsidRPr="004F6760">
        <w:rPr>
          <w:rFonts w:ascii="Arial" w:hAnsi="Arial"/>
        </w:rPr>
        <w:t>Formulez le problème juridique qui se pose</w:t>
      </w:r>
      <w:r w:rsidR="002B3928">
        <w:rPr>
          <w:rFonts w:ascii="Arial" w:hAnsi="Arial"/>
        </w:rPr>
        <w:t>.</w:t>
      </w:r>
      <w:r w:rsidRPr="004F6760">
        <w:rPr>
          <w:rFonts w:ascii="Arial" w:hAnsi="Arial"/>
        </w:rPr>
        <w:t xml:space="preserve"> </w:t>
      </w:r>
    </w:p>
    <w:p w14:paraId="01EB7748" w14:textId="77777777" w:rsidR="00CF4EC0" w:rsidRPr="004F6760" w:rsidRDefault="00CF4EC0" w:rsidP="00CF4EC0">
      <w:pPr>
        <w:pStyle w:val="Paragraphedeliste"/>
        <w:jc w:val="both"/>
        <w:rPr>
          <w:rFonts w:ascii="Arial" w:hAnsi="Arial"/>
        </w:rPr>
      </w:pPr>
    </w:p>
    <w:p w14:paraId="2911F6A2" w14:textId="56A3CE83" w:rsidR="00C15134" w:rsidRDefault="00D164EE" w:rsidP="005E528C">
      <w:pPr>
        <w:pStyle w:val="Paragraphedeliste"/>
        <w:numPr>
          <w:ilvl w:val="0"/>
          <w:numId w:val="1"/>
        </w:numPr>
        <w:jc w:val="both"/>
        <w:rPr>
          <w:rFonts w:ascii="Arial" w:hAnsi="Arial"/>
        </w:rPr>
      </w:pPr>
      <w:r>
        <w:rPr>
          <w:rFonts w:ascii="Arial" w:hAnsi="Arial"/>
        </w:rPr>
        <w:t>A partir des réponses aux quest</w:t>
      </w:r>
      <w:r w:rsidR="006C3D88">
        <w:rPr>
          <w:rFonts w:ascii="Arial" w:hAnsi="Arial"/>
        </w:rPr>
        <w:t>ions précédentes et d’une recherche sur le site de l’</w:t>
      </w:r>
      <w:r w:rsidR="00CF6268">
        <w:rPr>
          <w:rFonts w:ascii="Arial" w:hAnsi="Arial"/>
        </w:rPr>
        <w:t>I</w:t>
      </w:r>
      <w:r w:rsidR="004E3B1A">
        <w:rPr>
          <w:rFonts w:ascii="Arial" w:hAnsi="Arial"/>
        </w:rPr>
        <w:t>NPI</w:t>
      </w:r>
      <w:r w:rsidR="004D2478">
        <w:rPr>
          <w:rFonts w:ascii="Arial" w:hAnsi="Arial"/>
        </w:rPr>
        <w:t xml:space="preserve"> (aller sur</w:t>
      </w:r>
      <w:r w:rsidR="006C3D88">
        <w:rPr>
          <w:rFonts w:ascii="Arial" w:hAnsi="Arial"/>
        </w:rPr>
        <w:t xml:space="preserve"> la page : qu’</w:t>
      </w:r>
      <w:r w:rsidR="004D2478">
        <w:rPr>
          <w:rFonts w:ascii="Arial" w:hAnsi="Arial"/>
        </w:rPr>
        <w:t>est-ce qu’une</w:t>
      </w:r>
      <w:r w:rsidR="006C3D88">
        <w:rPr>
          <w:rFonts w:ascii="Arial" w:hAnsi="Arial"/>
        </w:rPr>
        <w:t xml:space="preserve"> contrefaçon</w:t>
      </w:r>
      <w:r w:rsidR="004D2478">
        <w:rPr>
          <w:rFonts w:ascii="Arial" w:hAnsi="Arial"/>
        </w:rPr>
        <w:t> ?</w:t>
      </w:r>
      <w:r w:rsidR="006C3D88">
        <w:rPr>
          <w:rFonts w:ascii="Arial" w:hAnsi="Arial"/>
        </w:rPr>
        <w:t>)</w:t>
      </w:r>
      <w:r>
        <w:rPr>
          <w:rFonts w:ascii="Arial" w:hAnsi="Arial"/>
        </w:rPr>
        <w:t xml:space="preserve">, </w:t>
      </w:r>
      <w:r w:rsidR="005E528C">
        <w:rPr>
          <w:rFonts w:ascii="Arial" w:hAnsi="Arial"/>
        </w:rPr>
        <w:t xml:space="preserve">reproduisez le tableau ci-dessous et </w:t>
      </w:r>
      <w:r>
        <w:rPr>
          <w:rFonts w:ascii="Arial" w:hAnsi="Arial"/>
        </w:rPr>
        <w:t>d</w:t>
      </w:r>
      <w:r w:rsidR="00C15134" w:rsidRPr="004F6760">
        <w:rPr>
          <w:rFonts w:ascii="Arial" w:hAnsi="Arial"/>
        </w:rPr>
        <w:t>istinguez les objectif</w:t>
      </w:r>
      <w:r w:rsidR="00E934A2">
        <w:rPr>
          <w:rFonts w:ascii="Arial" w:hAnsi="Arial"/>
        </w:rPr>
        <w:t xml:space="preserve">s de l’action en contrefaçon de </w:t>
      </w:r>
      <w:r w:rsidR="00C15134" w:rsidRPr="004F6760">
        <w:rPr>
          <w:rFonts w:ascii="Arial" w:hAnsi="Arial"/>
        </w:rPr>
        <w:t>ceux de l’action en concurrence déloyale</w:t>
      </w:r>
      <w:r w:rsidR="002B3928">
        <w:rPr>
          <w:rFonts w:ascii="Arial" w:hAnsi="Arial"/>
        </w:rPr>
        <w:t>.</w:t>
      </w:r>
    </w:p>
    <w:p w14:paraId="03E18302" w14:textId="77777777" w:rsidR="00ED7FC5" w:rsidRDefault="00ED7FC5" w:rsidP="005E528C">
      <w:pPr>
        <w:pStyle w:val="Paragraphedeliste"/>
        <w:jc w:val="both"/>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53"/>
      </w:tblGrid>
      <w:tr w:rsidR="00ED7FC5" w:rsidRPr="0029636C" w14:paraId="0624F638" w14:textId="77777777" w:rsidTr="0029636C">
        <w:tc>
          <w:tcPr>
            <w:tcW w:w="4606" w:type="dxa"/>
            <w:shd w:val="clear" w:color="auto" w:fill="auto"/>
          </w:tcPr>
          <w:p w14:paraId="15737C1A" w14:textId="6F64AB70" w:rsidR="00ED7FC5" w:rsidRPr="0029636C" w:rsidRDefault="002A06ED" w:rsidP="0029636C">
            <w:pPr>
              <w:pStyle w:val="Paragraphedeliste"/>
              <w:spacing w:after="0" w:line="240" w:lineRule="auto"/>
              <w:ind w:left="0"/>
              <w:jc w:val="both"/>
              <w:rPr>
                <w:rFonts w:ascii="Arial" w:hAnsi="Arial"/>
              </w:rPr>
            </w:pPr>
            <w:r w:rsidRPr="0029636C">
              <w:rPr>
                <w:rFonts w:ascii="Arial" w:hAnsi="Arial"/>
              </w:rPr>
              <w:t>L’action en concurrence déloyale</w:t>
            </w:r>
          </w:p>
        </w:tc>
        <w:tc>
          <w:tcPr>
            <w:tcW w:w="4606" w:type="dxa"/>
            <w:shd w:val="clear" w:color="auto" w:fill="auto"/>
          </w:tcPr>
          <w:p w14:paraId="0A6CAC91" w14:textId="0DC13B24" w:rsidR="00ED7FC5" w:rsidRPr="0029636C" w:rsidRDefault="002A06ED" w:rsidP="0029636C">
            <w:pPr>
              <w:pStyle w:val="Paragraphedeliste"/>
              <w:spacing w:after="0" w:line="240" w:lineRule="auto"/>
              <w:ind w:left="0"/>
              <w:jc w:val="both"/>
              <w:rPr>
                <w:rFonts w:ascii="Arial" w:hAnsi="Arial"/>
              </w:rPr>
            </w:pPr>
            <w:r w:rsidRPr="0029636C">
              <w:rPr>
                <w:rFonts w:ascii="Arial" w:hAnsi="Arial"/>
              </w:rPr>
              <w:t>L’action en contrefaçon</w:t>
            </w:r>
          </w:p>
        </w:tc>
      </w:tr>
      <w:tr w:rsidR="00ED7FC5" w:rsidRPr="0029636C" w14:paraId="30F7B702" w14:textId="77777777" w:rsidTr="0029636C">
        <w:tc>
          <w:tcPr>
            <w:tcW w:w="4606" w:type="dxa"/>
            <w:shd w:val="clear" w:color="auto" w:fill="auto"/>
          </w:tcPr>
          <w:p w14:paraId="49068FDF" w14:textId="77777777" w:rsidR="00ED7FC5" w:rsidRPr="0029636C" w:rsidRDefault="00ED7FC5" w:rsidP="0029636C">
            <w:pPr>
              <w:pStyle w:val="Paragraphedeliste"/>
              <w:spacing w:after="0" w:line="240" w:lineRule="auto"/>
              <w:ind w:left="0"/>
              <w:jc w:val="both"/>
              <w:rPr>
                <w:rFonts w:ascii="Arial" w:hAnsi="Arial"/>
              </w:rPr>
            </w:pPr>
          </w:p>
          <w:p w14:paraId="1BCA35E8" w14:textId="77777777" w:rsidR="002A06ED" w:rsidRPr="0029636C" w:rsidRDefault="002A06ED" w:rsidP="0029636C">
            <w:pPr>
              <w:pStyle w:val="Paragraphedeliste"/>
              <w:spacing w:after="0" w:line="240" w:lineRule="auto"/>
              <w:ind w:left="0"/>
              <w:jc w:val="both"/>
              <w:rPr>
                <w:rFonts w:ascii="Arial" w:hAnsi="Arial"/>
              </w:rPr>
            </w:pPr>
          </w:p>
          <w:p w14:paraId="3782BB3B" w14:textId="77777777" w:rsidR="002A06ED" w:rsidRPr="0029636C" w:rsidRDefault="002A06ED" w:rsidP="0029636C">
            <w:pPr>
              <w:pStyle w:val="Paragraphedeliste"/>
              <w:spacing w:after="0" w:line="240" w:lineRule="auto"/>
              <w:ind w:left="0"/>
              <w:jc w:val="both"/>
              <w:rPr>
                <w:rFonts w:ascii="Arial" w:hAnsi="Arial"/>
              </w:rPr>
            </w:pPr>
          </w:p>
          <w:p w14:paraId="2D5597E2" w14:textId="77777777" w:rsidR="002A06ED" w:rsidRPr="0029636C" w:rsidRDefault="002A06ED" w:rsidP="0029636C">
            <w:pPr>
              <w:pStyle w:val="Paragraphedeliste"/>
              <w:spacing w:after="0" w:line="240" w:lineRule="auto"/>
              <w:ind w:left="0"/>
              <w:jc w:val="both"/>
              <w:rPr>
                <w:rFonts w:ascii="Arial" w:hAnsi="Arial"/>
              </w:rPr>
            </w:pPr>
          </w:p>
          <w:p w14:paraId="53067704" w14:textId="77777777" w:rsidR="002A06ED" w:rsidRPr="0029636C" w:rsidRDefault="002A06ED" w:rsidP="0029636C">
            <w:pPr>
              <w:pStyle w:val="Paragraphedeliste"/>
              <w:spacing w:after="0" w:line="240" w:lineRule="auto"/>
              <w:ind w:left="0"/>
              <w:jc w:val="both"/>
              <w:rPr>
                <w:rFonts w:ascii="Arial" w:hAnsi="Arial"/>
              </w:rPr>
            </w:pPr>
          </w:p>
        </w:tc>
        <w:tc>
          <w:tcPr>
            <w:tcW w:w="4606" w:type="dxa"/>
            <w:shd w:val="clear" w:color="auto" w:fill="auto"/>
          </w:tcPr>
          <w:p w14:paraId="3A10C8E4" w14:textId="77777777" w:rsidR="00ED7FC5" w:rsidRPr="0029636C" w:rsidRDefault="00ED7FC5" w:rsidP="0029636C">
            <w:pPr>
              <w:pStyle w:val="Paragraphedeliste"/>
              <w:spacing w:after="0" w:line="240" w:lineRule="auto"/>
              <w:ind w:left="0"/>
              <w:jc w:val="both"/>
              <w:rPr>
                <w:rFonts w:ascii="Arial" w:hAnsi="Arial"/>
              </w:rPr>
            </w:pPr>
          </w:p>
        </w:tc>
      </w:tr>
    </w:tbl>
    <w:p w14:paraId="7D79313B" w14:textId="77777777" w:rsidR="00ED7FC5" w:rsidRDefault="00ED7FC5" w:rsidP="00CC70EA">
      <w:pPr>
        <w:jc w:val="both"/>
        <w:rPr>
          <w:rFonts w:ascii="Arial" w:hAnsi="Arial"/>
        </w:rPr>
      </w:pPr>
    </w:p>
    <w:p w14:paraId="668DC4EC" w14:textId="77777777" w:rsidR="00C65E41" w:rsidRPr="00CC70EA" w:rsidRDefault="00C65E41" w:rsidP="00CC70EA">
      <w:pPr>
        <w:jc w:val="both"/>
        <w:rPr>
          <w:rFonts w:ascii="Arial" w:hAnsi="Arial"/>
        </w:rPr>
      </w:pPr>
    </w:p>
    <w:p w14:paraId="7903944F" w14:textId="6309614D" w:rsidR="005056B4" w:rsidRPr="00A9054F" w:rsidRDefault="00AB4CA1" w:rsidP="005E528C">
      <w:pPr>
        <w:pStyle w:val="Paragraphedeliste"/>
        <w:numPr>
          <w:ilvl w:val="0"/>
          <w:numId w:val="1"/>
        </w:numPr>
        <w:jc w:val="both"/>
        <w:rPr>
          <w:rFonts w:ascii="Arial" w:hAnsi="Arial"/>
        </w:rPr>
      </w:pPr>
      <w:r w:rsidRPr="00A9054F">
        <w:rPr>
          <w:rFonts w:ascii="Arial" w:hAnsi="Arial"/>
        </w:rPr>
        <w:t>Justifiez la possibilité pour la société Emball’tout d’agir en contrefaçon</w:t>
      </w:r>
      <w:r w:rsidR="0029636C" w:rsidRPr="00A9054F">
        <w:rPr>
          <w:rFonts w:ascii="Arial" w:hAnsi="Arial"/>
        </w:rPr>
        <w:t xml:space="preserve"> si Maxence Martinez utilisait le même nom</w:t>
      </w:r>
      <w:r w:rsidRPr="00A9054F">
        <w:rPr>
          <w:rFonts w:ascii="Arial" w:hAnsi="Arial"/>
        </w:rPr>
        <w:t>.</w:t>
      </w:r>
    </w:p>
    <w:p w14:paraId="7E789E52" w14:textId="77777777" w:rsidR="00987AC1" w:rsidRDefault="00987AC1" w:rsidP="005E528C">
      <w:pPr>
        <w:jc w:val="both"/>
        <w:rPr>
          <w:rFonts w:ascii="Arial" w:hAnsi="Arial"/>
        </w:rPr>
        <w:sectPr w:rsidR="00987AC1" w:rsidSect="00CF4EC0">
          <w:pgSz w:w="11906" w:h="16838"/>
          <w:pgMar w:top="1134" w:right="1134" w:bottom="1134" w:left="1134" w:header="709" w:footer="709" w:gutter="0"/>
          <w:cols w:space="708"/>
          <w:docGrid w:linePitch="360"/>
        </w:sectPr>
      </w:pPr>
    </w:p>
    <w:p w14:paraId="0BE34B34" w14:textId="446F08A1" w:rsidR="00EA72B0" w:rsidRPr="00A9054F" w:rsidRDefault="007C5253" w:rsidP="00A9054F">
      <w:pPr>
        <w:jc w:val="center"/>
        <w:rPr>
          <w:rFonts w:ascii="Arial" w:hAnsi="Arial"/>
          <w:b/>
          <w:sz w:val="32"/>
          <w:szCs w:val="32"/>
        </w:rPr>
      </w:pPr>
      <w:r w:rsidRPr="00A9054F">
        <w:rPr>
          <w:rFonts w:ascii="Arial" w:hAnsi="Arial"/>
          <w:b/>
          <w:sz w:val="32"/>
          <w:szCs w:val="32"/>
        </w:rPr>
        <w:lastRenderedPageBreak/>
        <w:t>Annexes</w:t>
      </w:r>
    </w:p>
    <w:p w14:paraId="472C00F7" w14:textId="77777777" w:rsidR="00910784" w:rsidRDefault="00EA72B0" w:rsidP="005E528C">
      <w:pPr>
        <w:jc w:val="both"/>
        <w:rPr>
          <w:rFonts w:ascii="Arial" w:hAnsi="Arial"/>
          <w:b/>
        </w:rPr>
      </w:pPr>
      <w:r w:rsidRPr="00843BC3">
        <w:rPr>
          <w:rFonts w:ascii="Arial" w:hAnsi="Arial"/>
          <w:b/>
        </w:rPr>
        <w:t xml:space="preserve">Annexe 1 : </w:t>
      </w:r>
      <w:r w:rsidR="00910784">
        <w:rPr>
          <w:rFonts w:ascii="Arial" w:hAnsi="Arial"/>
          <w:b/>
        </w:rPr>
        <w:t>La loyauté des concurrents</w:t>
      </w:r>
    </w:p>
    <w:p w14:paraId="3F88E7FF" w14:textId="2A5FD31C" w:rsidR="00910784" w:rsidRPr="00910784" w:rsidRDefault="00910784" w:rsidP="005E528C">
      <w:pPr>
        <w:jc w:val="both"/>
        <w:rPr>
          <w:rFonts w:ascii="Arial" w:hAnsi="Arial"/>
        </w:rPr>
      </w:pPr>
      <w:r w:rsidRPr="00910784">
        <w:rPr>
          <w:rFonts w:ascii="Arial" w:hAnsi="Arial"/>
        </w:rPr>
        <w:t>Le droit français de la concurrence peut avoir pour but de maintenir la concurrence dans de justes limites, afin qu’elle reste raisonnable, modérée, loyale. Le droit de la concurrence a alors pour vocation de limiter la concurrence excessive, en sanctionnant les comportements déloyaux.</w:t>
      </w:r>
    </w:p>
    <w:p w14:paraId="023902F9" w14:textId="2C2D3630" w:rsidR="00910784" w:rsidRPr="00CC70EA" w:rsidRDefault="00910784" w:rsidP="00CC70EA">
      <w:pPr>
        <w:jc w:val="right"/>
        <w:rPr>
          <w:rFonts w:ascii="Arial" w:hAnsi="Arial"/>
        </w:rPr>
      </w:pPr>
      <w:r>
        <w:rPr>
          <w:rFonts w:ascii="Arial" w:hAnsi="Arial"/>
        </w:rPr>
        <w:t>Droit commercial – Georges Decocq, Aurélie Ballot-Léna Dalloz – 7</w:t>
      </w:r>
      <w:r w:rsidRPr="002732EE">
        <w:rPr>
          <w:rFonts w:ascii="Arial" w:hAnsi="Arial"/>
          <w:vertAlign w:val="superscript"/>
        </w:rPr>
        <w:t>ème</w:t>
      </w:r>
      <w:r>
        <w:rPr>
          <w:rFonts w:ascii="Arial" w:hAnsi="Arial"/>
        </w:rPr>
        <w:t xml:space="preserve"> édition 2015</w:t>
      </w:r>
    </w:p>
    <w:p w14:paraId="01787795" w14:textId="61446FC7" w:rsidR="00164B26" w:rsidRPr="00CC70EA" w:rsidRDefault="00910784" w:rsidP="005E528C">
      <w:pPr>
        <w:jc w:val="both"/>
        <w:rPr>
          <w:rFonts w:ascii="Arial" w:hAnsi="Arial"/>
          <w:b/>
        </w:rPr>
      </w:pPr>
      <w:r>
        <w:rPr>
          <w:rFonts w:ascii="Arial" w:hAnsi="Arial"/>
          <w:b/>
        </w:rPr>
        <w:t xml:space="preserve">Annexe 2 : </w:t>
      </w:r>
      <w:r w:rsidR="005E1726">
        <w:rPr>
          <w:rFonts w:ascii="Arial" w:hAnsi="Arial"/>
          <w:b/>
        </w:rPr>
        <w:t>Les différents actes de concurrence déloyale</w:t>
      </w:r>
    </w:p>
    <w:p w14:paraId="55E3AE6E" w14:textId="26C17182" w:rsidR="00A61B46" w:rsidRPr="00CC70EA" w:rsidRDefault="005E1726" w:rsidP="00CC70EA">
      <w:pPr>
        <w:spacing w:after="0"/>
        <w:jc w:val="both"/>
        <w:rPr>
          <w:rFonts w:ascii="Arial" w:hAnsi="Arial"/>
          <w:b/>
        </w:rPr>
      </w:pPr>
      <w:r w:rsidRPr="00CC70EA">
        <w:rPr>
          <w:rFonts w:ascii="Arial" w:hAnsi="Arial"/>
          <w:b/>
        </w:rPr>
        <w:t>Le dénigrement</w:t>
      </w:r>
    </w:p>
    <w:p w14:paraId="1AA78822" w14:textId="77777777" w:rsidR="00370039" w:rsidRPr="004F6760" w:rsidRDefault="00370039" w:rsidP="005E528C">
      <w:pPr>
        <w:jc w:val="both"/>
        <w:rPr>
          <w:rFonts w:ascii="Arial" w:hAnsi="Arial"/>
        </w:rPr>
      </w:pPr>
      <w:r w:rsidRPr="004F6760">
        <w:rPr>
          <w:rFonts w:ascii="Arial" w:hAnsi="Arial"/>
        </w:rPr>
        <w:t xml:space="preserve">Le dénigrement de l’entreprise concurrente ou de ses produits constitue une forme de concurrence </w:t>
      </w:r>
      <w:r w:rsidR="00C8224F" w:rsidRPr="004F6760">
        <w:rPr>
          <w:rFonts w:ascii="Arial" w:hAnsi="Arial"/>
        </w:rPr>
        <w:t>déloyale</w:t>
      </w:r>
      <w:r w:rsidRPr="004F6760">
        <w:rPr>
          <w:rFonts w:ascii="Arial" w:hAnsi="Arial"/>
        </w:rPr>
        <w:t xml:space="preserve">. Le dénigrement peut prendre la </w:t>
      </w:r>
      <w:r w:rsidR="00C8224F" w:rsidRPr="004F6760">
        <w:rPr>
          <w:rFonts w:ascii="Arial" w:hAnsi="Arial"/>
        </w:rPr>
        <w:t>forme</w:t>
      </w:r>
      <w:r w:rsidRPr="004F6760">
        <w:rPr>
          <w:rFonts w:ascii="Arial" w:hAnsi="Arial"/>
        </w:rPr>
        <w:t xml:space="preserve"> de critiques ouvertes et grossières mais plus </w:t>
      </w:r>
      <w:r w:rsidR="00C8224F" w:rsidRPr="004F6760">
        <w:rPr>
          <w:rFonts w:ascii="Arial" w:hAnsi="Arial"/>
        </w:rPr>
        <w:t>généralement il se manifeste subtilement, le dénigrement peut ainsi consister pour une entreprise, sans viser nominativement une autre entreprise, qu’elle est la seule à proposer un service ou un produit efficace. Il est toujours nécessaire que le dénigrement soit public.</w:t>
      </w:r>
    </w:p>
    <w:p w14:paraId="662C5FBE" w14:textId="77777777" w:rsidR="005E1726" w:rsidRPr="00CC70EA" w:rsidRDefault="00F569E5" w:rsidP="00CC70EA">
      <w:pPr>
        <w:spacing w:after="0"/>
        <w:jc w:val="both"/>
        <w:rPr>
          <w:rFonts w:ascii="Arial" w:hAnsi="Arial"/>
          <w:b/>
        </w:rPr>
      </w:pPr>
      <w:r w:rsidRPr="00CC70EA">
        <w:rPr>
          <w:rFonts w:ascii="Arial" w:hAnsi="Arial"/>
          <w:b/>
        </w:rPr>
        <w:t xml:space="preserve">La désorganisation </w:t>
      </w:r>
    </w:p>
    <w:p w14:paraId="281E2F7C" w14:textId="783C469C" w:rsidR="00F569E5" w:rsidRPr="004F6760" w:rsidRDefault="005E1726" w:rsidP="005E528C">
      <w:pPr>
        <w:jc w:val="both"/>
        <w:rPr>
          <w:rFonts w:ascii="Arial" w:hAnsi="Arial"/>
        </w:rPr>
      </w:pPr>
      <w:r>
        <w:rPr>
          <w:rFonts w:ascii="Arial" w:hAnsi="Arial"/>
        </w:rPr>
        <w:t xml:space="preserve">La désorganisation </w:t>
      </w:r>
      <w:r w:rsidR="00F569E5" w:rsidRPr="004F6760">
        <w:rPr>
          <w:rFonts w:ascii="Arial" w:hAnsi="Arial"/>
        </w:rPr>
        <w:t xml:space="preserve">peut résulter d’agissements tournés vers une entreprise identifiée ou de la désorganisation d’un marché. Le débauchage de salariés peut entrer dans la première catégorie. L’embauche de salariés appartenant à la concurrence n’est pas une attitude fautive par elle-même, sauf si la clause de non-concurrence existe. Pourtant, dans certaines conditions, le débauchage des salariés constitue une faute, notamment s’il apparait que le départ massif des ouvriers, a été organisé et qu’il a eu pour effet de paralyser l’entreprise concurrente. </w:t>
      </w:r>
    </w:p>
    <w:p w14:paraId="635E82AC" w14:textId="77777777" w:rsidR="0000623D" w:rsidRPr="00CC70EA" w:rsidRDefault="0000623D" w:rsidP="00CC70EA">
      <w:pPr>
        <w:spacing w:after="0"/>
        <w:jc w:val="both"/>
        <w:rPr>
          <w:rFonts w:ascii="Arial" w:hAnsi="Arial"/>
          <w:b/>
        </w:rPr>
      </w:pPr>
      <w:r w:rsidRPr="00CC70EA">
        <w:rPr>
          <w:rFonts w:ascii="Arial" w:hAnsi="Arial"/>
          <w:b/>
        </w:rPr>
        <w:t>L’imitation</w:t>
      </w:r>
    </w:p>
    <w:p w14:paraId="188C8F34" w14:textId="3B6DB7A6" w:rsidR="0000623D" w:rsidRPr="004F6760" w:rsidRDefault="0000623D" w:rsidP="005E528C">
      <w:pPr>
        <w:jc w:val="both"/>
        <w:rPr>
          <w:rFonts w:ascii="Arial" w:hAnsi="Arial"/>
        </w:rPr>
      </w:pPr>
      <w:r w:rsidRPr="004F6760">
        <w:rPr>
          <w:rFonts w:ascii="Arial" w:hAnsi="Arial"/>
        </w:rPr>
        <w:t>L’action en concurrence déloyale suppose que l’imitation ait faussée le jeu de la concurrence. (…) L’imitation peut consister en une réplique à l’identique du produit ou d’un signe distinctif, mais elle se manifeste aussi par l’imitation de la présentation de son apparence extérieure, de sa couleur ou de sa forme, voire dans certains cas de l’emballage.</w:t>
      </w:r>
    </w:p>
    <w:p w14:paraId="22F3306C" w14:textId="40A60084" w:rsidR="000B056A" w:rsidRPr="004F6760" w:rsidRDefault="000B056A" w:rsidP="00CC70EA">
      <w:pPr>
        <w:jc w:val="right"/>
        <w:rPr>
          <w:rFonts w:ascii="Arial" w:hAnsi="Arial"/>
        </w:rPr>
      </w:pPr>
      <w:r w:rsidRPr="004F6760">
        <w:rPr>
          <w:rFonts w:ascii="Arial" w:hAnsi="Arial"/>
        </w:rPr>
        <w:t>Alexandre Braud. Droit commercial – Gualino – Lextensoéditions. 6</w:t>
      </w:r>
      <w:r w:rsidRPr="004F6760">
        <w:rPr>
          <w:rFonts w:ascii="Arial" w:hAnsi="Arial"/>
          <w:vertAlign w:val="superscript"/>
        </w:rPr>
        <w:t>ème</w:t>
      </w:r>
      <w:r w:rsidR="005E1726">
        <w:rPr>
          <w:rFonts w:ascii="Arial" w:hAnsi="Arial"/>
        </w:rPr>
        <w:t xml:space="preserve"> édition 2014- 2015</w:t>
      </w:r>
    </w:p>
    <w:p w14:paraId="19810FD8" w14:textId="77777777" w:rsidR="00CC70EA" w:rsidRPr="00CC70EA" w:rsidRDefault="00CC70EA" w:rsidP="00CC70EA">
      <w:pPr>
        <w:spacing w:after="0"/>
        <w:jc w:val="both"/>
        <w:rPr>
          <w:rFonts w:ascii="Arial" w:hAnsi="Arial"/>
          <w:b/>
        </w:rPr>
      </w:pPr>
      <w:r w:rsidRPr="00CC70EA">
        <w:rPr>
          <w:rFonts w:ascii="Arial" w:hAnsi="Arial"/>
          <w:b/>
        </w:rPr>
        <w:t>Le parasitisme</w:t>
      </w:r>
    </w:p>
    <w:p w14:paraId="7F206FE7" w14:textId="07499030" w:rsidR="00B05A43" w:rsidRPr="004F6760" w:rsidRDefault="00B05A43" w:rsidP="005E528C">
      <w:pPr>
        <w:jc w:val="both"/>
        <w:rPr>
          <w:rFonts w:ascii="Arial" w:hAnsi="Arial"/>
        </w:rPr>
      </w:pPr>
      <w:r w:rsidRPr="004F6760">
        <w:rPr>
          <w:rFonts w:ascii="Arial" w:hAnsi="Arial"/>
        </w:rPr>
        <w:t xml:space="preserve">Le parasitisme  est le fait pour une entreprise de tirer profit de façon injuste de la réussite d’une autre </w:t>
      </w:r>
      <w:r w:rsidR="000B056A" w:rsidRPr="004F6760">
        <w:rPr>
          <w:rFonts w:ascii="Arial" w:hAnsi="Arial"/>
        </w:rPr>
        <w:t>entreprise</w:t>
      </w:r>
      <w:r w:rsidRPr="004F6760">
        <w:rPr>
          <w:rFonts w:ascii="Arial" w:hAnsi="Arial"/>
        </w:rPr>
        <w:t>. L’</w:t>
      </w:r>
      <w:r w:rsidR="000B056A" w:rsidRPr="004F6760">
        <w:rPr>
          <w:rFonts w:ascii="Arial" w:hAnsi="Arial"/>
        </w:rPr>
        <w:t>entreprise</w:t>
      </w:r>
      <w:r w:rsidRPr="004F6760">
        <w:rPr>
          <w:rFonts w:ascii="Arial" w:hAnsi="Arial"/>
        </w:rPr>
        <w:t xml:space="preserve"> parasite c</w:t>
      </w:r>
      <w:r w:rsidR="000B056A" w:rsidRPr="004F6760">
        <w:rPr>
          <w:rFonts w:ascii="Arial" w:hAnsi="Arial"/>
        </w:rPr>
        <w:t>herche à utiliser pour son prop</w:t>
      </w:r>
      <w:r w:rsidRPr="004F6760">
        <w:rPr>
          <w:rFonts w:ascii="Arial" w:hAnsi="Arial"/>
        </w:rPr>
        <w:t>re profit le succès commercial, la notori</w:t>
      </w:r>
      <w:r w:rsidR="000B056A" w:rsidRPr="004F6760">
        <w:rPr>
          <w:rFonts w:ascii="Arial" w:hAnsi="Arial"/>
        </w:rPr>
        <w:t>é</w:t>
      </w:r>
      <w:r w:rsidRPr="004F6760">
        <w:rPr>
          <w:rFonts w:ascii="Arial" w:hAnsi="Arial"/>
        </w:rPr>
        <w:t xml:space="preserve">té ou les </w:t>
      </w:r>
      <w:r w:rsidR="000B056A" w:rsidRPr="004F6760">
        <w:rPr>
          <w:rFonts w:ascii="Arial" w:hAnsi="Arial"/>
        </w:rPr>
        <w:t>investissements</w:t>
      </w:r>
      <w:r w:rsidRPr="004F6760">
        <w:rPr>
          <w:rFonts w:ascii="Arial" w:hAnsi="Arial"/>
        </w:rPr>
        <w:t xml:space="preserve"> financiers et intellectuels d’autrui. </w:t>
      </w:r>
      <w:r w:rsidR="000B056A" w:rsidRPr="004F6760">
        <w:rPr>
          <w:rFonts w:ascii="Arial" w:hAnsi="Arial"/>
        </w:rPr>
        <w:t xml:space="preserve"> (…). </w:t>
      </w:r>
      <w:r w:rsidR="00642D6A">
        <w:rPr>
          <w:rFonts w:ascii="Arial" w:hAnsi="Arial"/>
        </w:rPr>
        <w:t>Au-delà</w:t>
      </w:r>
      <w:r w:rsidR="000B056A" w:rsidRPr="004F6760">
        <w:rPr>
          <w:rFonts w:ascii="Arial" w:hAnsi="Arial"/>
        </w:rPr>
        <w:t xml:space="preserve"> de la notoriété d’autrui, le parasitisme s’applique également en cas d’utilisation anormale du travail d’autrui ou de ses idées, par exemple par la reprise de méthodes publicitaires mais aussi, de manière plus originale, par la reprise déloyale d’informations).</w:t>
      </w:r>
    </w:p>
    <w:p w14:paraId="296AC786" w14:textId="32B4FA13" w:rsidR="00E86F04" w:rsidRDefault="006A3DA2" w:rsidP="00CC70EA">
      <w:pPr>
        <w:jc w:val="right"/>
        <w:rPr>
          <w:rFonts w:ascii="Arial" w:hAnsi="Arial"/>
        </w:rPr>
      </w:pPr>
      <w:r>
        <w:rPr>
          <w:rFonts w:ascii="Arial" w:hAnsi="Arial"/>
        </w:rPr>
        <w:t xml:space="preserve">Droit commercial – Georges Decocq, Aurélie Ballot-Léna Dalloz </w:t>
      </w:r>
      <w:r w:rsidR="002732EE">
        <w:rPr>
          <w:rFonts w:ascii="Arial" w:hAnsi="Arial"/>
        </w:rPr>
        <w:t>– 7</w:t>
      </w:r>
      <w:r w:rsidR="002732EE" w:rsidRPr="002732EE">
        <w:rPr>
          <w:rFonts w:ascii="Arial" w:hAnsi="Arial"/>
          <w:vertAlign w:val="superscript"/>
        </w:rPr>
        <w:t>ème</w:t>
      </w:r>
      <w:r w:rsidR="002732EE">
        <w:rPr>
          <w:rFonts w:ascii="Arial" w:hAnsi="Arial"/>
        </w:rPr>
        <w:t xml:space="preserve"> édition 2015</w:t>
      </w:r>
    </w:p>
    <w:p w14:paraId="711683A2" w14:textId="77777777" w:rsidR="00987AC1" w:rsidRDefault="00987AC1" w:rsidP="005E528C">
      <w:pPr>
        <w:jc w:val="both"/>
        <w:rPr>
          <w:rFonts w:ascii="Arial" w:hAnsi="Arial"/>
        </w:rPr>
        <w:sectPr w:rsidR="00987AC1" w:rsidSect="00CF4EC0">
          <w:pgSz w:w="11906" w:h="16838"/>
          <w:pgMar w:top="1134" w:right="1134" w:bottom="1134" w:left="1134" w:header="709" w:footer="709" w:gutter="0"/>
          <w:cols w:space="708"/>
          <w:docGrid w:linePitch="360"/>
        </w:sectPr>
      </w:pPr>
    </w:p>
    <w:p w14:paraId="00752E82" w14:textId="745EBA1B" w:rsidR="00E86F04" w:rsidRDefault="00E86F04" w:rsidP="005E528C">
      <w:pPr>
        <w:jc w:val="both"/>
        <w:rPr>
          <w:rFonts w:ascii="Arial" w:hAnsi="Arial"/>
        </w:rPr>
      </w:pPr>
    </w:p>
    <w:p w14:paraId="0AFF3164" w14:textId="3EF6B223" w:rsidR="00843BC3" w:rsidRPr="00642D6A" w:rsidRDefault="00431143" w:rsidP="00642D6A">
      <w:pPr>
        <w:rPr>
          <w:rFonts w:ascii="Arial" w:hAnsi="Arial"/>
          <w:b/>
          <w:bCs/>
        </w:rPr>
      </w:pPr>
      <w:r>
        <w:rPr>
          <w:rStyle w:val="lev"/>
          <w:rFonts w:ascii="Arial" w:hAnsi="Arial"/>
        </w:rPr>
        <w:t>Annexe 3</w:t>
      </w:r>
      <w:r w:rsidR="00843BC3" w:rsidRPr="004F6760">
        <w:rPr>
          <w:rStyle w:val="lev"/>
          <w:rFonts w:ascii="Arial" w:hAnsi="Arial"/>
        </w:rPr>
        <w:t xml:space="preserve"> : </w:t>
      </w:r>
      <w:r w:rsidR="00843BC3" w:rsidRPr="00642D6A">
        <w:rPr>
          <w:rFonts w:ascii="Arial" w:hAnsi="Arial" w:cs="Arial"/>
          <w:b/>
          <w:bCs/>
          <w:color w:val="262626"/>
        </w:rPr>
        <w:t>Cour de cassation, chambre commerciale mardi 10 février 2015 (Extrait)</w:t>
      </w:r>
    </w:p>
    <w:p w14:paraId="2A4DEB13"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 xml:space="preserve">Sur le second moyen, pris en sa cinquième branche : </w:t>
      </w:r>
    </w:p>
    <w:p w14:paraId="0A3FF87F"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532CC347" w14:textId="47DF76BE"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Attendu que la société SPF fait le même grief à l'arrêt alors, selon le moyen, que constitue un acte de parasitisme tout comportement par lequel un agent économique s'immisce dans la sillage d'un autre afin de tirer profit de ses efforts et de son savoir-faire, sans rien dépenser ou en exposant des frais moindre</w:t>
      </w:r>
      <w:r w:rsidR="004D2478">
        <w:rPr>
          <w:rFonts w:ascii="Arial" w:hAnsi="Arial" w:cs="Arial"/>
          <w:color w:val="262626"/>
        </w:rPr>
        <w:t>s</w:t>
      </w:r>
      <w:r w:rsidRPr="004F6760">
        <w:rPr>
          <w:rFonts w:ascii="Arial" w:hAnsi="Arial" w:cs="Arial"/>
          <w:color w:val="262626"/>
        </w:rPr>
        <w:t xml:space="preserve"> que ceux auxquels il aurait dû faire face ; qu'en statuant de la sorte sans rechercher, comme elle y était invitée, si en imitant les documents contractuels de la société SPF, plutôt que de créer les siens, la société SIPG n'avait pas profité, sans bourse délier, de l'expérience de sa concurrente dans ce domaine, des investissements qu'elle avaient dû fournir en recourant à un service juridique pour les élaborer, de ses efforts et du temps passé pour conceptualiser leur mise en page, ce qui lui avait permis de proposer un contrat de vente à domicile éprouvé pendant des années par la société SPF auprès de sa clientèle, ce qui caractérisait un comportement parasitaire, la cour d'appel a privé sa décision de base légale au regard de l'article 1382 du code civil ; </w:t>
      </w:r>
    </w:p>
    <w:p w14:paraId="774C5BE6"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476E6FFB" w14:textId="302E6BAE"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Mais attendu que le parasitisme consiste, pour un opérateur économique, à se placer dans le sillage d'une entreprise en profitant indûment de la notoriété acquise ou des investissements consentis ; que la société SPF, qui se bornait dans ses conclusions à invoquer la copie de documents contractuels, sans prétendre avoir consenti un quelconque investissement à ce titre, ne peut utilement reprocher à la cour d'appel d'avoir rejeté sa demande ; que le moyen ne peut être accueilli ;  (…)</w:t>
      </w:r>
    </w:p>
    <w:p w14:paraId="72CAB989"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422A99CA"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775AB0D9"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 xml:space="preserve">PAR CES MOTIFS : </w:t>
      </w:r>
    </w:p>
    <w:p w14:paraId="6D3F6632"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344085A0"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 xml:space="preserve">REJETTE le pourvoi ; </w:t>
      </w:r>
    </w:p>
    <w:p w14:paraId="191CC0FC" w14:textId="414BAEAB" w:rsidR="00642D6A" w:rsidRDefault="00642D6A" w:rsidP="005E528C">
      <w:pPr>
        <w:spacing w:after="240"/>
        <w:jc w:val="both"/>
        <w:rPr>
          <w:rStyle w:val="lev"/>
          <w:rFonts w:ascii="Arial" w:hAnsi="Arial"/>
        </w:rPr>
      </w:pPr>
    </w:p>
    <w:p w14:paraId="77D3FB87" w14:textId="1FF19B9C" w:rsidR="00843BC3" w:rsidRPr="004F6760" w:rsidRDefault="00431143" w:rsidP="005E528C">
      <w:pPr>
        <w:spacing w:after="240"/>
        <w:jc w:val="both"/>
        <w:rPr>
          <w:rFonts w:ascii="Arial" w:hAnsi="Arial"/>
        </w:rPr>
      </w:pPr>
      <w:r>
        <w:rPr>
          <w:rStyle w:val="lev"/>
          <w:rFonts w:ascii="Arial" w:hAnsi="Arial"/>
        </w:rPr>
        <w:t>Annexe 4</w:t>
      </w:r>
      <w:r w:rsidR="00843BC3" w:rsidRPr="004F6760">
        <w:rPr>
          <w:rStyle w:val="lev"/>
          <w:rFonts w:ascii="Arial" w:hAnsi="Arial"/>
        </w:rPr>
        <w:t xml:space="preserve"> : </w:t>
      </w:r>
      <w:r w:rsidR="005E1726">
        <w:rPr>
          <w:rStyle w:val="lev"/>
          <w:rFonts w:ascii="Arial" w:hAnsi="Arial"/>
        </w:rPr>
        <w:t>L’action en concurrence déloyale.</w:t>
      </w:r>
    </w:p>
    <w:p w14:paraId="7D8BD20E" w14:textId="1BBDD764" w:rsidR="00843BC3" w:rsidRDefault="00843BC3" w:rsidP="005E528C">
      <w:pPr>
        <w:jc w:val="both"/>
        <w:rPr>
          <w:rFonts w:ascii="Arial" w:hAnsi="Arial"/>
        </w:rPr>
      </w:pPr>
      <w:r w:rsidRPr="004F6760">
        <w:rPr>
          <w:rFonts w:ascii="Arial" w:hAnsi="Arial"/>
        </w:rPr>
        <w:t>L’action en concurrence déloyale trouve son fondement dans les articles 1382 et 1383 du code civil relatifs à la responsabilité délictuelle. L’action est possible dès l</w:t>
      </w:r>
      <w:r w:rsidR="005E1726">
        <w:rPr>
          <w:rFonts w:ascii="Arial" w:hAnsi="Arial"/>
        </w:rPr>
        <w:t xml:space="preserve">ors que les entreprises </w:t>
      </w:r>
      <w:r w:rsidRPr="004F6760">
        <w:rPr>
          <w:rFonts w:ascii="Arial" w:hAnsi="Arial"/>
        </w:rPr>
        <w:t xml:space="preserve">sont en situation de concurrence </w:t>
      </w:r>
      <w:r>
        <w:rPr>
          <w:rFonts w:ascii="Arial" w:hAnsi="Arial"/>
        </w:rPr>
        <w:t>sur un marché</w:t>
      </w:r>
      <w:r w:rsidRPr="004F6760">
        <w:rPr>
          <w:rFonts w:ascii="Arial" w:hAnsi="Arial"/>
        </w:rPr>
        <w:t xml:space="preserve">. L’action suppose que soient réunis une faute (dénigrement, désorganisation, imitation et parasitisme), un dommage (matériel, moral) et un lien de causalité entre les deux. </w:t>
      </w:r>
    </w:p>
    <w:p w14:paraId="7806690E" w14:textId="21E1319E" w:rsidR="00843BC3" w:rsidRPr="004F6760" w:rsidRDefault="00843BC3" w:rsidP="005E528C">
      <w:pPr>
        <w:ind w:left="7440" w:firstLine="348"/>
        <w:jc w:val="both"/>
        <w:rPr>
          <w:rFonts w:ascii="Arial" w:hAnsi="Arial"/>
        </w:rPr>
      </w:pPr>
      <w:r>
        <w:rPr>
          <w:rFonts w:ascii="Arial" w:hAnsi="Arial"/>
        </w:rPr>
        <w:t>L’auteur</w:t>
      </w:r>
      <w:r w:rsidR="00CF4EC0">
        <w:rPr>
          <w:rFonts w:ascii="Arial" w:hAnsi="Arial"/>
        </w:rPr>
        <w:t>e</w:t>
      </w:r>
      <w:r>
        <w:rPr>
          <w:rFonts w:ascii="Arial" w:hAnsi="Arial"/>
        </w:rPr>
        <w:t xml:space="preserve"> </w:t>
      </w:r>
    </w:p>
    <w:p w14:paraId="5DADDB37" w14:textId="6DB73E69" w:rsidR="00DA6EE2" w:rsidRPr="004F6760" w:rsidRDefault="00431143" w:rsidP="005E528C">
      <w:pPr>
        <w:spacing w:after="240"/>
        <w:jc w:val="both"/>
        <w:rPr>
          <w:rStyle w:val="lev"/>
          <w:rFonts w:ascii="Arial" w:hAnsi="Arial"/>
        </w:rPr>
      </w:pPr>
      <w:r>
        <w:rPr>
          <w:rStyle w:val="lev"/>
          <w:rFonts w:ascii="Arial" w:hAnsi="Arial"/>
        </w:rPr>
        <w:t>Annexe 5</w:t>
      </w:r>
      <w:r w:rsidR="00DA6EE2" w:rsidRPr="004F6760">
        <w:rPr>
          <w:rStyle w:val="lev"/>
          <w:rFonts w:ascii="Arial" w:hAnsi="Arial"/>
        </w:rPr>
        <w:t> : Articles du code civil</w:t>
      </w:r>
    </w:p>
    <w:p w14:paraId="71BFB56E" w14:textId="77777777" w:rsidR="00DA6EE2" w:rsidRPr="004F6760" w:rsidRDefault="00DA6EE2" w:rsidP="005E528C">
      <w:pPr>
        <w:spacing w:after="240"/>
        <w:jc w:val="both"/>
        <w:rPr>
          <w:rStyle w:val="lev"/>
          <w:rFonts w:ascii="Arial" w:hAnsi="Arial"/>
          <w:b w:val="0"/>
        </w:rPr>
      </w:pPr>
      <w:r w:rsidRPr="004F6760">
        <w:rPr>
          <w:rStyle w:val="lev"/>
          <w:rFonts w:ascii="Arial" w:hAnsi="Arial"/>
        </w:rPr>
        <w:t xml:space="preserve">Article 1382 : </w:t>
      </w:r>
      <w:r w:rsidRPr="004F6760">
        <w:rPr>
          <w:rStyle w:val="lev"/>
          <w:rFonts w:ascii="Arial" w:hAnsi="Arial"/>
          <w:b w:val="0"/>
        </w:rPr>
        <w:t>Tout fait quelconque de l’homme, qui cause à autrui un dommage, oblige celui par la faute duquel il est arrivé à le réparer.</w:t>
      </w:r>
    </w:p>
    <w:p w14:paraId="62A01EBE" w14:textId="77777777" w:rsidR="00DA6EE2" w:rsidRDefault="00DA6EE2" w:rsidP="005E528C">
      <w:pPr>
        <w:spacing w:after="240"/>
        <w:jc w:val="both"/>
        <w:rPr>
          <w:rStyle w:val="lev"/>
          <w:rFonts w:ascii="Arial" w:hAnsi="Arial"/>
          <w:b w:val="0"/>
        </w:rPr>
      </w:pPr>
      <w:r w:rsidRPr="004F6760">
        <w:rPr>
          <w:rStyle w:val="lev"/>
          <w:rFonts w:ascii="Arial" w:hAnsi="Arial"/>
        </w:rPr>
        <w:t xml:space="preserve">Article 1383 : </w:t>
      </w:r>
      <w:r w:rsidRPr="004F6760">
        <w:rPr>
          <w:rStyle w:val="lev"/>
          <w:rFonts w:ascii="Arial" w:hAnsi="Arial"/>
          <w:b w:val="0"/>
        </w:rPr>
        <w:t>Chacun est responsable du dommage qu’il a causé non seulement par son fait, mais encore par sa négligence ou par son imprudence.</w:t>
      </w:r>
    </w:p>
    <w:sectPr w:rsidR="00DA6EE2" w:rsidSect="00CF4E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CD29" w14:textId="77777777" w:rsidR="00E75FC7" w:rsidRDefault="00E75FC7" w:rsidP="007C5253">
      <w:pPr>
        <w:spacing w:after="0" w:line="240" w:lineRule="auto"/>
      </w:pPr>
      <w:r>
        <w:separator/>
      </w:r>
    </w:p>
  </w:endnote>
  <w:endnote w:type="continuationSeparator" w:id="0">
    <w:p w14:paraId="383A8AC3" w14:textId="77777777" w:rsidR="00E75FC7" w:rsidRDefault="00E75FC7" w:rsidP="007C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836E" w14:textId="3D9EC15D" w:rsidR="007C5253" w:rsidRDefault="007C5253" w:rsidP="007C5253">
    <w:pPr>
      <w:pStyle w:val="Pieddepage"/>
    </w:pPr>
    <w:r>
      <w:t>Crcom.ac-versailles.fr  - Dossier loyauté de la concurrence – Anne Bénédicte Branly</w:t>
    </w:r>
    <w:r>
      <w:tab/>
      <w:t xml:space="preserve">Page </w:t>
    </w:r>
    <w:r w:rsidRPr="007C5253">
      <w:rPr>
        <w:bCs/>
        <w:sz w:val="24"/>
        <w:szCs w:val="24"/>
      </w:rPr>
      <w:fldChar w:fldCharType="begin"/>
    </w:r>
    <w:r w:rsidRPr="00A9054F">
      <w:rPr>
        <w:bCs/>
      </w:rPr>
      <w:instrText>PAGE</w:instrText>
    </w:r>
    <w:r w:rsidRPr="007C5253">
      <w:rPr>
        <w:bCs/>
        <w:sz w:val="24"/>
        <w:szCs w:val="24"/>
      </w:rPr>
      <w:fldChar w:fldCharType="separate"/>
    </w:r>
    <w:r w:rsidR="000C67EB">
      <w:rPr>
        <w:bCs/>
        <w:noProof/>
        <w:sz w:val="24"/>
        <w:szCs w:val="24"/>
      </w:rPr>
      <w:t>1</w:t>
    </w:r>
    <w:r w:rsidRPr="007C5253">
      <w:rPr>
        <w:bCs/>
        <w:sz w:val="24"/>
        <w:szCs w:val="24"/>
      </w:rPr>
      <w:fldChar w:fldCharType="end"/>
    </w:r>
    <w:r>
      <w:t xml:space="preserve"> sur </w:t>
    </w:r>
    <w:r w:rsidRPr="007C5253">
      <w:rPr>
        <w:bCs/>
        <w:sz w:val="24"/>
        <w:szCs w:val="24"/>
      </w:rPr>
      <w:fldChar w:fldCharType="begin"/>
    </w:r>
    <w:r w:rsidRPr="00A9054F">
      <w:rPr>
        <w:bCs/>
      </w:rPr>
      <w:instrText>NUMPAGES</w:instrText>
    </w:r>
    <w:r w:rsidRPr="007C5253">
      <w:rPr>
        <w:bCs/>
        <w:sz w:val="24"/>
        <w:szCs w:val="24"/>
      </w:rPr>
      <w:fldChar w:fldCharType="separate"/>
    </w:r>
    <w:r w:rsidR="000C67EB">
      <w:rPr>
        <w:bCs/>
        <w:noProof/>
        <w:sz w:val="24"/>
        <w:szCs w:val="24"/>
      </w:rPr>
      <w:t>4</w:t>
    </w:r>
    <w:r w:rsidRPr="007C5253">
      <w:rPr>
        <w:bCs/>
        <w:sz w:val="24"/>
        <w:szCs w:val="24"/>
      </w:rPr>
      <w:fldChar w:fldCharType="end"/>
    </w:r>
  </w:p>
  <w:p w14:paraId="2D4910D8" w14:textId="5991D489" w:rsidR="007C5253" w:rsidRPr="007C5253" w:rsidRDefault="007C5253" w:rsidP="007C52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3EDF" w14:textId="77777777" w:rsidR="00E75FC7" w:rsidRDefault="00E75FC7" w:rsidP="007C5253">
      <w:pPr>
        <w:spacing w:after="0" w:line="240" w:lineRule="auto"/>
      </w:pPr>
      <w:r>
        <w:separator/>
      </w:r>
    </w:p>
  </w:footnote>
  <w:footnote w:type="continuationSeparator" w:id="0">
    <w:p w14:paraId="1CF69647" w14:textId="77777777" w:rsidR="00E75FC7" w:rsidRDefault="00E75FC7" w:rsidP="007C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96CAD"/>
    <w:multiLevelType w:val="hybridMultilevel"/>
    <w:tmpl w:val="3CC8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DB6FA6"/>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7F25B7"/>
    <w:multiLevelType w:val="hybridMultilevel"/>
    <w:tmpl w:val="7DB64DFA"/>
    <w:lvl w:ilvl="0" w:tplc="6A4A11B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92F36"/>
    <w:multiLevelType w:val="hybridMultilevel"/>
    <w:tmpl w:val="B54A896E"/>
    <w:lvl w:ilvl="0" w:tplc="3FBC889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F69EE"/>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EA2FA7"/>
    <w:multiLevelType w:val="hybridMultilevel"/>
    <w:tmpl w:val="AD089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1B4F41"/>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307B88"/>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E7"/>
    <w:rsid w:val="00000434"/>
    <w:rsid w:val="0000623D"/>
    <w:rsid w:val="0003634F"/>
    <w:rsid w:val="00037541"/>
    <w:rsid w:val="00070C23"/>
    <w:rsid w:val="0007792F"/>
    <w:rsid w:val="000B056A"/>
    <w:rsid w:val="000C5C0C"/>
    <w:rsid w:val="000C67EB"/>
    <w:rsid w:val="000C7CAB"/>
    <w:rsid w:val="0013421D"/>
    <w:rsid w:val="00143D78"/>
    <w:rsid w:val="001533A0"/>
    <w:rsid w:val="0015668F"/>
    <w:rsid w:val="00163244"/>
    <w:rsid w:val="00164B26"/>
    <w:rsid w:val="001978E7"/>
    <w:rsid w:val="001A4C99"/>
    <w:rsid w:val="001D2A33"/>
    <w:rsid w:val="001E4F82"/>
    <w:rsid w:val="00230438"/>
    <w:rsid w:val="0023419A"/>
    <w:rsid w:val="00245AE7"/>
    <w:rsid w:val="002732EE"/>
    <w:rsid w:val="00294070"/>
    <w:rsid w:val="0029636C"/>
    <w:rsid w:val="002A06ED"/>
    <w:rsid w:val="002B1707"/>
    <w:rsid w:val="002B3928"/>
    <w:rsid w:val="002B5F59"/>
    <w:rsid w:val="002C1090"/>
    <w:rsid w:val="002C1626"/>
    <w:rsid w:val="002E0412"/>
    <w:rsid w:val="00302AD9"/>
    <w:rsid w:val="00303CA1"/>
    <w:rsid w:val="00304EFD"/>
    <w:rsid w:val="0030603B"/>
    <w:rsid w:val="00311D3C"/>
    <w:rsid w:val="00322B44"/>
    <w:rsid w:val="00352A6F"/>
    <w:rsid w:val="0035597E"/>
    <w:rsid w:val="003671C6"/>
    <w:rsid w:val="00370039"/>
    <w:rsid w:val="00370B9E"/>
    <w:rsid w:val="003A1D5F"/>
    <w:rsid w:val="003B07E9"/>
    <w:rsid w:val="003C0294"/>
    <w:rsid w:val="003F2911"/>
    <w:rsid w:val="00411DC5"/>
    <w:rsid w:val="004121DB"/>
    <w:rsid w:val="00431143"/>
    <w:rsid w:val="00435DD5"/>
    <w:rsid w:val="0045318F"/>
    <w:rsid w:val="00462F62"/>
    <w:rsid w:val="004A4D9A"/>
    <w:rsid w:val="004C5E13"/>
    <w:rsid w:val="004D2478"/>
    <w:rsid w:val="004E3B1A"/>
    <w:rsid w:val="004F1EF4"/>
    <w:rsid w:val="004F6760"/>
    <w:rsid w:val="004F67B0"/>
    <w:rsid w:val="005056B4"/>
    <w:rsid w:val="005137DE"/>
    <w:rsid w:val="00520499"/>
    <w:rsid w:val="0053030E"/>
    <w:rsid w:val="00541F51"/>
    <w:rsid w:val="00580921"/>
    <w:rsid w:val="00587CE4"/>
    <w:rsid w:val="00590B4B"/>
    <w:rsid w:val="005E1726"/>
    <w:rsid w:val="005E528C"/>
    <w:rsid w:val="00642D6A"/>
    <w:rsid w:val="00647C6F"/>
    <w:rsid w:val="00674717"/>
    <w:rsid w:val="006A3DA2"/>
    <w:rsid w:val="006C3D88"/>
    <w:rsid w:val="006C674F"/>
    <w:rsid w:val="006F1B03"/>
    <w:rsid w:val="00775542"/>
    <w:rsid w:val="007826ED"/>
    <w:rsid w:val="00783510"/>
    <w:rsid w:val="007962B7"/>
    <w:rsid w:val="007B2C64"/>
    <w:rsid w:val="007B702A"/>
    <w:rsid w:val="007C5253"/>
    <w:rsid w:val="00803D78"/>
    <w:rsid w:val="008207D4"/>
    <w:rsid w:val="008241BD"/>
    <w:rsid w:val="00833F2E"/>
    <w:rsid w:val="00843BC3"/>
    <w:rsid w:val="00861119"/>
    <w:rsid w:val="00870206"/>
    <w:rsid w:val="00877627"/>
    <w:rsid w:val="008813B2"/>
    <w:rsid w:val="0088299F"/>
    <w:rsid w:val="008C22D9"/>
    <w:rsid w:val="008D024F"/>
    <w:rsid w:val="008E0E88"/>
    <w:rsid w:val="008F1F1E"/>
    <w:rsid w:val="00910784"/>
    <w:rsid w:val="00922CD9"/>
    <w:rsid w:val="009437A5"/>
    <w:rsid w:val="00987AC1"/>
    <w:rsid w:val="0099030B"/>
    <w:rsid w:val="009C2D6C"/>
    <w:rsid w:val="00A01910"/>
    <w:rsid w:val="00A444D0"/>
    <w:rsid w:val="00A525B9"/>
    <w:rsid w:val="00A61B46"/>
    <w:rsid w:val="00A9054F"/>
    <w:rsid w:val="00AB4CA1"/>
    <w:rsid w:val="00AE3D1D"/>
    <w:rsid w:val="00AF0EF1"/>
    <w:rsid w:val="00B01AA7"/>
    <w:rsid w:val="00B02727"/>
    <w:rsid w:val="00B03016"/>
    <w:rsid w:val="00B05A43"/>
    <w:rsid w:val="00B368BB"/>
    <w:rsid w:val="00B646AD"/>
    <w:rsid w:val="00B7100C"/>
    <w:rsid w:val="00BA49B6"/>
    <w:rsid w:val="00BE2E1F"/>
    <w:rsid w:val="00BF7A77"/>
    <w:rsid w:val="00C00358"/>
    <w:rsid w:val="00C15134"/>
    <w:rsid w:val="00C65E41"/>
    <w:rsid w:val="00C766F8"/>
    <w:rsid w:val="00C8224F"/>
    <w:rsid w:val="00CC70EA"/>
    <w:rsid w:val="00CD30D5"/>
    <w:rsid w:val="00CF273B"/>
    <w:rsid w:val="00CF4EC0"/>
    <w:rsid w:val="00CF6268"/>
    <w:rsid w:val="00D13E7E"/>
    <w:rsid w:val="00D164EE"/>
    <w:rsid w:val="00D55A89"/>
    <w:rsid w:val="00D73A2B"/>
    <w:rsid w:val="00D74B78"/>
    <w:rsid w:val="00DA6EE2"/>
    <w:rsid w:val="00DD1E45"/>
    <w:rsid w:val="00DD31B3"/>
    <w:rsid w:val="00E75FC7"/>
    <w:rsid w:val="00E840F5"/>
    <w:rsid w:val="00E86F04"/>
    <w:rsid w:val="00E934A2"/>
    <w:rsid w:val="00EA5745"/>
    <w:rsid w:val="00EA72B0"/>
    <w:rsid w:val="00EB0023"/>
    <w:rsid w:val="00EC49A6"/>
    <w:rsid w:val="00EC63E9"/>
    <w:rsid w:val="00ED7FC5"/>
    <w:rsid w:val="00F14CCF"/>
    <w:rsid w:val="00F569E5"/>
    <w:rsid w:val="00F57115"/>
    <w:rsid w:val="00F62CEA"/>
    <w:rsid w:val="00F66A6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0F67C"/>
  <w15:docId w15:val="{8629DCC3-A1A2-4F9F-86A7-C9D1FA5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03634F"/>
    <w:pPr>
      <w:spacing w:after="0" w:line="240" w:lineRule="auto"/>
      <w:outlineLvl w:val="1"/>
    </w:pPr>
    <w:rPr>
      <w:rFonts w:ascii="Times New Roman" w:eastAsia="Times New Roman" w:hAnsi="Times New Roman"/>
      <w:sz w:val="36"/>
      <w:szCs w:val="36"/>
      <w:lang w:eastAsia="fr-FR"/>
    </w:rPr>
  </w:style>
  <w:style w:type="paragraph" w:styleId="Titre3">
    <w:name w:val="heading 3"/>
    <w:basedOn w:val="Normal"/>
    <w:next w:val="Normal"/>
    <w:link w:val="Titre3Car"/>
    <w:uiPriority w:val="9"/>
    <w:semiHidden/>
    <w:unhideWhenUsed/>
    <w:qFormat/>
    <w:rsid w:val="00D13E7E"/>
    <w:pPr>
      <w:keepNext/>
      <w:keepLines/>
      <w:spacing w:before="200" w:after="0"/>
      <w:outlineLvl w:val="2"/>
    </w:pPr>
    <w:rPr>
      <w:rFonts w:ascii="Cambria" w:eastAsia="MS Gothic"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rlignage">
    <w:name w:val="surlignage"/>
    <w:basedOn w:val="Policepardfaut"/>
    <w:rsid w:val="00DD1E45"/>
  </w:style>
  <w:style w:type="paragraph" w:styleId="Paragraphedeliste">
    <w:name w:val="List Paragraph"/>
    <w:basedOn w:val="Normal"/>
    <w:uiPriority w:val="34"/>
    <w:qFormat/>
    <w:rsid w:val="001978E7"/>
    <w:pPr>
      <w:ind w:left="720"/>
      <w:contextualSpacing/>
    </w:pPr>
  </w:style>
  <w:style w:type="character" w:styleId="Marquedecommentaire">
    <w:name w:val="annotation reference"/>
    <w:uiPriority w:val="99"/>
    <w:semiHidden/>
    <w:unhideWhenUsed/>
    <w:rsid w:val="001978E7"/>
    <w:rPr>
      <w:sz w:val="16"/>
      <w:szCs w:val="16"/>
    </w:rPr>
  </w:style>
  <w:style w:type="paragraph" w:styleId="Commentaire">
    <w:name w:val="annotation text"/>
    <w:basedOn w:val="Normal"/>
    <w:link w:val="CommentaireCar"/>
    <w:uiPriority w:val="99"/>
    <w:semiHidden/>
    <w:unhideWhenUsed/>
    <w:rsid w:val="001978E7"/>
    <w:pPr>
      <w:spacing w:line="240" w:lineRule="auto"/>
    </w:pPr>
    <w:rPr>
      <w:sz w:val="20"/>
      <w:szCs w:val="20"/>
    </w:rPr>
  </w:style>
  <w:style w:type="character" w:customStyle="1" w:styleId="CommentaireCar">
    <w:name w:val="Commentaire Car"/>
    <w:link w:val="Commentaire"/>
    <w:uiPriority w:val="99"/>
    <w:semiHidden/>
    <w:rsid w:val="001978E7"/>
    <w:rPr>
      <w:sz w:val="20"/>
      <w:szCs w:val="20"/>
    </w:rPr>
  </w:style>
  <w:style w:type="paragraph" w:styleId="Objetducommentaire">
    <w:name w:val="annotation subject"/>
    <w:basedOn w:val="Commentaire"/>
    <w:next w:val="Commentaire"/>
    <w:link w:val="ObjetducommentaireCar"/>
    <w:uiPriority w:val="99"/>
    <w:semiHidden/>
    <w:unhideWhenUsed/>
    <w:rsid w:val="001978E7"/>
    <w:rPr>
      <w:b/>
      <w:bCs/>
    </w:rPr>
  </w:style>
  <w:style w:type="character" w:customStyle="1" w:styleId="ObjetducommentaireCar">
    <w:name w:val="Objet du commentaire Car"/>
    <w:link w:val="Objetducommentaire"/>
    <w:uiPriority w:val="99"/>
    <w:semiHidden/>
    <w:rsid w:val="001978E7"/>
    <w:rPr>
      <w:b/>
      <w:bCs/>
      <w:sz w:val="20"/>
      <w:szCs w:val="20"/>
    </w:rPr>
  </w:style>
  <w:style w:type="paragraph" w:styleId="Textedebulles">
    <w:name w:val="Balloon Text"/>
    <w:basedOn w:val="Normal"/>
    <w:link w:val="TextedebullesCar"/>
    <w:uiPriority w:val="99"/>
    <w:semiHidden/>
    <w:unhideWhenUsed/>
    <w:rsid w:val="001978E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78E7"/>
    <w:rPr>
      <w:rFonts w:ascii="Tahoma" w:hAnsi="Tahoma" w:cs="Tahoma"/>
      <w:sz w:val="16"/>
      <w:szCs w:val="16"/>
    </w:rPr>
  </w:style>
  <w:style w:type="character" w:styleId="Lienhypertexte">
    <w:name w:val="Hyperlink"/>
    <w:uiPriority w:val="99"/>
    <w:unhideWhenUsed/>
    <w:rsid w:val="00F14CCF"/>
    <w:rPr>
      <w:color w:val="0000FF"/>
      <w:u w:val="single"/>
    </w:rPr>
  </w:style>
  <w:style w:type="character" w:customStyle="1" w:styleId="Titre2Car">
    <w:name w:val="Titre 2 Car"/>
    <w:link w:val="Titre2"/>
    <w:uiPriority w:val="9"/>
    <w:rsid w:val="0003634F"/>
    <w:rPr>
      <w:rFonts w:ascii="Times New Roman" w:eastAsia="Times New Roman" w:hAnsi="Times New Roman" w:cs="Times New Roman"/>
      <w:sz w:val="36"/>
      <w:szCs w:val="36"/>
      <w:lang w:eastAsia="fr-FR"/>
    </w:rPr>
  </w:style>
  <w:style w:type="character" w:styleId="Accentuation">
    <w:name w:val="Emphasis"/>
    <w:uiPriority w:val="20"/>
    <w:qFormat/>
    <w:rsid w:val="0003634F"/>
    <w:rPr>
      <w:i/>
      <w:iCs/>
    </w:rPr>
  </w:style>
  <w:style w:type="paragraph" w:styleId="NormalWeb">
    <w:name w:val="Normal (Web)"/>
    <w:basedOn w:val="Normal"/>
    <w:uiPriority w:val="99"/>
    <w:semiHidden/>
    <w:unhideWhenUsed/>
    <w:rsid w:val="0003634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775542"/>
    <w:pPr>
      <w:autoSpaceDE w:val="0"/>
      <w:autoSpaceDN w:val="0"/>
      <w:adjustRightInd w:val="0"/>
    </w:pPr>
    <w:rPr>
      <w:rFonts w:ascii="Arial" w:hAnsi="Arial" w:cs="Arial"/>
      <w:color w:val="000000"/>
      <w:sz w:val="24"/>
      <w:szCs w:val="24"/>
      <w:lang w:eastAsia="en-US"/>
    </w:rPr>
  </w:style>
  <w:style w:type="character" w:customStyle="1" w:styleId="Titre3Car">
    <w:name w:val="Titre 3 Car"/>
    <w:link w:val="Titre3"/>
    <w:uiPriority w:val="9"/>
    <w:semiHidden/>
    <w:rsid w:val="00D13E7E"/>
    <w:rPr>
      <w:rFonts w:ascii="Cambria" w:eastAsia="MS Gothic" w:hAnsi="Cambria" w:cs="Times New Roman"/>
      <w:b/>
      <w:bCs/>
      <w:color w:val="4F81BD"/>
    </w:rPr>
  </w:style>
  <w:style w:type="character" w:styleId="lev">
    <w:name w:val="Strong"/>
    <w:uiPriority w:val="22"/>
    <w:qFormat/>
    <w:rsid w:val="00D13E7E"/>
    <w:rPr>
      <w:b/>
      <w:bCs/>
    </w:rPr>
  </w:style>
  <w:style w:type="character" w:styleId="Lienhypertextesuivivisit">
    <w:name w:val="FollowedHyperlink"/>
    <w:uiPriority w:val="99"/>
    <w:semiHidden/>
    <w:unhideWhenUsed/>
    <w:rsid w:val="00F569E5"/>
    <w:rPr>
      <w:color w:val="800080"/>
      <w:u w:val="single"/>
    </w:rPr>
  </w:style>
  <w:style w:type="table" w:styleId="Grilledutableau">
    <w:name w:val="Table Grid"/>
    <w:basedOn w:val="TableauNormal"/>
    <w:uiPriority w:val="59"/>
    <w:rsid w:val="00ED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A525B9"/>
  </w:style>
  <w:style w:type="paragraph" w:customStyle="1" w:styleId="Contenudetableau">
    <w:name w:val="Contenu de tableau"/>
    <w:basedOn w:val="Normal"/>
    <w:rsid w:val="00A525B9"/>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styleId="En-tte">
    <w:name w:val="header"/>
    <w:basedOn w:val="Normal"/>
    <w:link w:val="En-tteCar"/>
    <w:uiPriority w:val="99"/>
    <w:unhideWhenUsed/>
    <w:rsid w:val="007C5253"/>
    <w:pPr>
      <w:tabs>
        <w:tab w:val="center" w:pos="4536"/>
        <w:tab w:val="right" w:pos="9072"/>
      </w:tabs>
    </w:pPr>
  </w:style>
  <w:style w:type="character" w:customStyle="1" w:styleId="En-tteCar">
    <w:name w:val="En-tête Car"/>
    <w:link w:val="En-tte"/>
    <w:uiPriority w:val="99"/>
    <w:rsid w:val="007C5253"/>
    <w:rPr>
      <w:sz w:val="22"/>
      <w:szCs w:val="22"/>
      <w:lang w:eastAsia="en-US"/>
    </w:rPr>
  </w:style>
  <w:style w:type="paragraph" w:styleId="Pieddepage">
    <w:name w:val="footer"/>
    <w:basedOn w:val="Normal"/>
    <w:link w:val="PieddepageCar"/>
    <w:uiPriority w:val="99"/>
    <w:unhideWhenUsed/>
    <w:rsid w:val="007C5253"/>
    <w:pPr>
      <w:tabs>
        <w:tab w:val="center" w:pos="4536"/>
        <w:tab w:val="right" w:pos="9072"/>
      </w:tabs>
    </w:pPr>
  </w:style>
  <w:style w:type="character" w:customStyle="1" w:styleId="PieddepageCar">
    <w:name w:val="Pied de page Car"/>
    <w:link w:val="Pieddepage"/>
    <w:uiPriority w:val="99"/>
    <w:rsid w:val="007C52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3318">
      <w:bodyDiv w:val="1"/>
      <w:marLeft w:val="0"/>
      <w:marRight w:val="0"/>
      <w:marTop w:val="0"/>
      <w:marBottom w:val="0"/>
      <w:divBdr>
        <w:top w:val="none" w:sz="0" w:space="0" w:color="auto"/>
        <w:left w:val="none" w:sz="0" w:space="0" w:color="auto"/>
        <w:bottom w:val="none" w:sz="0" w:space="0" w:color="auto"/>
        <w:right w:val="none" w:sz="0" w:space="0" w:color="auto"/>
      </w:divBdr>
      <w:divsChild>
        <w:div w:id="1413308490">
          <w:marLeft w:val="0"/>
          <w:marRight w:val="0"/>
          <w:marTop w:val="0"/>
          <w:marBottom w:val="0"/>
          <w:divBdr>
            <w:top w:val="none" w:sz="0" w:space="0" w:color="auto"/>
            <w:left w:val="none" w:sz="0" w:space="0" w:color="auto"/>
            <w:bottom w:val="none" w:sz="0" w:space="0" w:color="auto"/>
            <w:right w:val="none" w:sz="0" w:space="0" w:color="auto"/>
          </w:divBdr>
          <w:divsChild>
            <w:div w:id="554392464">
              <w:marLeft w:val="0"/>
              <w:marRight w:val="0"/>
              <w:marTop w:val="0"/>
              <w:marBottom w:val="0"/>
              <w:divBdr>
                <w:top w:val="none" w:sz="0" w:space="0" w:color="auto"/>
                <w:left w:val="none" w:sz="0" w:space="0" w:color="auto"/>
                <w:bottom w:val="none" w:sz="0" w:space="0" w:color="auto"/>
                <w:right w:val="none" w:sz="0" w:space="0" w:color="auto"/>
              </w:divBdr>
              <w:divsChild>
                <w:div w:id="385105084">
                  <w:marLeft w:val="0"/>
                  <w:marRight w:val="0"/>
                  <w:marTop w:val="0"/>
                  <w:marBottom w:val="0"/>
                  <w:divBdr>
                    <w:top w:val="none" w:sz="0" w:space="0" w:color="auto"/>
                    <w:left w:val="none" w:sz="0" w:space="0" w:color="auto"/>
                    <w:bottom w:val="none" w:sz="0" w:space="0" w:color="auto"/>
                    <w:right w:val="none" w:sz="0" w:space="0" w:color="auto"/>
                  </w:divBdr>
                  <w:divsChild>
                    <w:div w:id="865485109">
                      <w:marLeft w:val="0"/>
                      <w:marRight w:val="0"/>
                      <w:marTop w:val="0"/>
                      <w:marBottom w:val="0"/>
                      <w:divBdr>
                        <w:top w:val="none" w:sz="0" w:space="0" w:color="auto"/>
                        <w:left w:val="none" w:sz="0" w:space="0" w:color="auto"/>
                        <w:bottom w:val="none" w:sz="0" w:space="0" w:color="auto"/>
                        <w:right w:val="none" w:sz="0" w:space="0" w:color="auto"/>
                      </w:divBdr>
                      <w:divsChild>
                        <w:div w:id="11592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82314">
      <w:bodyDiv w:val="1"/>
      <w:marLeft w:val="0"/>
      <w:marRight w:val="0"/>
      <w:marTop w:val="0"/>
      <w:marBottom w:val="0"/>
      <w:divBdr>
        <w:top w:val="none" w:sz="0" w:space="0" w:color="auto"/>
        <w:left w:val="none" w:sz="0" w:space="0" w:color="auto"/>
        <w:bottom w:val="none" w:sz="0" w:space="0" w:color="auto"/>
        <w:right w:val="none" w:sz="0" w:space="0" w:color="auto"/>
      </w:divBdr>
    </w:div>
    <w:div w:id="927881676">
      <w:bodyDiv w:val="1"/>
      <w:marLeft w:val="0"/>
      <w:marRight w:val="0"/>
      <w:marTop w:val="0"/>
      <w:marBottom w:val="0"/>
      <w:divBdr>
        <w:top w:val="none" w:sz="0" w:space="0" w:color="auto"/>
        <w:left w:val="none" w:sz="0" w:space="0" w:color="auto"/>
        <w:bottom w:val="none" w:sz="0" w:space="0" w:color="auto"/>
        <w:right w:val="none" w:sz="0" w:space="0" w:color="auto"/>
      </w:divBdr>
    </w:div>
    <w:div w:id="965158261">
      <w:bodyDiv w:val="1"/>
      <w:marLeft w:val="0"/>
      <w:marRight w:val="0"/>
      <w:marTop w:val="0"/>
      <w:marBottom w:val="0"/>
      <w:divBdr>
        <w:top w:val="none" w:sz="0" w:space="0" w:color="auto"/>
        <w:left w:val="none" w:sz="0" w:space="0" w:color="auto"/>
        <w:bottom w:val="none" w:sz="0" w:space="0" w:color="auto"/>
        <w:right w:val="none" w:sz="0" w:space="0" w:color="auto"/>
      </w:divBdr>
      <w:divsChild>
        <w:div w:id="501240736">
          <w:marLeft w:val="0"/>
          <w:marRight w:val="0"/>
          <w:marTop w:val="0"/>
          <w:marBottom w:val="0"/>
          <w:divBdr>
            <w:top w:val="none" w:sz="0" w:space="0" w:color="auto"/>
            <w:left w:val="none" w:sz="0" w:space="0" w:color="auto"/>
            <w:bottom w:val="none" w:sz="0" w:space="0" w:color="auto"/>
            <w:right w:val="none" w:sz="0" w:space="0" w:color="auto"/>
          </w:divBdr>
          <w:divsChild>
            <w:div w:id="972951323">
              <w:marLeft w:val="0"/>
              <w:marRight w:val="0"/>
              <w:marTop w:val="0"/>
              <w:marBottom w:val="0"/>
              <w:divBdr>
                <w:top w:val="none" w:sz="0" w:space="0" w:color="auto"/>
                <w:left w:val="none" w:sz="0" w:space="0" w:color="auto"/>
                <w:bottom w:val="none" w:sz="0" w:space="0" w:color="auto"/>
                <w:right w:val="none" w:sz="0" w:space="0" w:color="auto"/>
              </w:divBdr>
              <w:divsChild>
                <w:div w:id="1752385039">
                  <w:marLeft w:val="0"/>
                  <w:marRight w:val="0"/>
                  <w:marTop w:val="0"/>
                  <w:marBottom w:val="0"/>
                  <w:divBdr>
                    <w:top w:val="none" w:sz="0" w:space="0" w:color="auto"/>
                    <w:left w:val="none" w:sz="0" w:space="0" w:color="auto"/>
                    <w:bottom w:val="none" w:sz="0" w:space="0" w:color="auto"/>
                    <w:right w:val="none" w:sz="0" w:space="0" w:color="auto"/>
                  </w:divBdr>
                  <w:divsChild>
                    <w:div w:id="1182862082">
                      <w:marLeft w:val="0"/>
                      <w:marRight w:val="0"/>
                      <w:marTop w:val="0"/>
                      <w:marBottom w:val="0"/>
                      <w:divBdr>
                        <w:top w:val="none" w:sz="0" w:space="0" w:color="auto"/>
                        <w:left w:val="none" w:sz="0" w:space="0" w:color="auto"/>
                        <w:bottom w:val="none" w:sz="0" w:space="0" w:color="auto"/>
                        <w:right w:val="none" w:sz="0" w:space="0" w:color="auto"/>
                      </w:divBdr>
                      <w:divsChild>
                        <w:div w:id="1367221252">
                          <w:marLeft w:val="0"/>
                          <w:marRight w:val="0"/>
                          <w:marTop w:val="0"/>
                          <w:marBottom w:val="0"/>
                          <w:divBdr>
                            <w:top w:val="none" w:sz="0" w:space="0" w:color="auto"/>
                            <w:left w:val="none" w:sz="0" w:space="0" w:color="auto"/>
                            <w:bottom w:val="none" w:sz="0" w:space="0" w:color="auto"/>
                            <w:right w:val="none" w:sz="0" w:space="0" w:color="auto"/>
                          </w:divBdr>
                          <w:divsChild>
                            <w:div w:id="1338312933">
                              <w:marLeft w:val="0"/>
                              <w:marRight w:val="0"/>
                              <w:marTop w:val="0"/>
                              <w:marBottom w:val="0"/>
                              <w:divBdr>
                                <w:top w:val="none" w:sz="0" w:space="0" w:color="auto"/>
                                <w:left w:val="none" w:sz="0" w:space="0" w:color="auto"/>
                                <w:bottom w:val="none" w:sz="0" w:space="0" w:color="auto"/>
                                <w:right w:val="none" w:sz="0" w:space="0" w:color="auto"/>
                              </w:divBdr>
                            </w:div>
                            <w:div w:id="470749467">
                              <w:marLeft w:val="0"/>
                              <w:marRight w:val="0"/>
                              <w:marTop w:val="0"/>
                              <w:marBottom w:val="0"/>
                              <w:divBdr>
                                <w:top w:val="none" w:sz="0" w:space="0" w:color="auto"/>
                                <w:left w:val="none" w:sz="0" w:space="0" w:color="auto"/>
                                <w:bottom w:val="none" w:sz="0" w:space="0" w:color="auto"/>
                                <w:right w:val="none" w:sz="0" w:space="0" w:color="auto"/>
                              </w:divBdr>
                              <w:divsChild>
                                <w:div w:id="12496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19949">
      <w:bodyDiv w:val="1"/>
      <w:marLeft w:val="0"/>
      <w:marRight w:val="0"/>
      <w:marTop w:val="0"/>
      <w:marBottom w:val="0"/>
      <w:divBdr>
        <w:top w:val="none" w:sz="0" w:space="0" w:color="auto"/>
        <w:left w:val="none" w:sz="0" w:space="0" w:color="auto"/>
        <w:bottom w:val="none" w:sz="0" w:space="0" w:color="auto"/>
        <w:right w:val="none" w:sz="0" w:space="0" w:color="auto"/>
      </w:divBdr>
      <w:divsChild>
        <w:div w:id="1667854553">
          <w:marLeft w:val="0"/>
          <w:marRight w:val="0"/>
          <w:marTop w:val="0"/>
          <w:marBottom w:val="0"/>
          <w:divBdr>
            <w:top w:val="none" w:sz="0" w:space="0" w:color="auto"/>
            <w:left w:val="none" w:sz="0" w:space="0" w:color="auto"/>
            <w:bottom w:val="none" w:sz="0" w:space="0" w:color="auto"/>
            <w:right w:val="none" w:sz="0" w:space="0" w:color="auto"/>
          </w:divBdr>
          <w:divsChild>
            <w:div w:id="1985160968">
              <w:marLeft w:val="0"/>
              <w:marRight w:val="0"/>
              <w:marTop w:val="0"/>
              <w:marBottom w:val="0"/>
              <w:divBdr>
                <w:top w:val="none" w:sz="0" w:space="0" w:color="auto"/>
                <w:left w:val="none" w:sz="0" w:space="0" w:color="auto"/>
                <w:bottom w:val="none" w:sz="0" w:space="0" w:color="auto"/>
                <w:right w:val="none" w:sz="0" w:space="0" w:color="auto"/>
              </w:divBdr>
              <w:divsChild>
                <w:div w:id="1791703674">
                  <w:marLeft w:val="0"/>
                  <w:marRight w:val="0"/>
                  <w:marTop w:val="0"/>
                  <w:marBottom w:val="0"/>
                  <w:divBdr>
                    <w:top w:val="none" w:sz="0" w:space="0" w:color="auto"/>
                    <w:left w:val="none" w:sz="0" w:space="0" w:color="auto"/>
                    <w:bottom w:val="none" w:sz="0" w:space="0" w:color="auto"/>
                    <w:right w:val="none" w:sz="0" w:space="0" w:color="auto"/>
                  </w:divBdr>
                  <w:divsChild>
                    <w:div w:id="10232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5BD3-F5EB-4861-996D-5DC895B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Jamila Khaddam-ellah</cp:lastModifiedBy>
  <cp:revision>2</cp:revision>
  <cp:lastPrinted>2016-04-21T07:20:00Z</cp:lastPrinted>
  <dcterms:created xsi:type="dcterms:W3CDTF">2020-12-08T09:52:00Z</dcterms:created>
  <dcterms:modified xsi:type="dcterms:W3CDTF">2020-12-08T09:52:00Z</dcterms:modified>
</cp:coreProperties>
</file>