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start"/>
        <w:tblInd w:type="dxa" w:w="-5"/>
        <w:tblBorders>
          <w:top w:color="000000" w:space="0" w:sz="4" w:val="single"/>
          <w:start w:color="000000" w:space="0" w:sz="4" w:val="single"/>
          <w:bottom w:color="000000" w:space="0" w:sz="4" w:val="single"/>
          <w:insideH w:color="000000" w:space="0" w:sz="4" w:val="single"/>
          <w:end w:val="nil"/>
          <w:insideV w:val="nil"/>
        </w:tblBorders>
        <w:tblCellMar>
          <w:top w:type="dxa" w:w="0"/>
          <w:start w:type="dxa" w:w="65"/>
          <w:bottom w:type="dxa" w:w="0"/>
          <w:end w:type="dxa" w:w="70"/>
        </w:tblCellMar>
      </w:tblPr>
      <w:tblGrid>
        <w:gridCol w:w="4750"/>
        <w:gridCol w:w="6041"/>
      </w:tblGrid>
      <w:tr>
        <w:trPr>
          <w:trHeight w:hRule="atLeast" w:val="552"/>
          <w:cantSplit w:val="true"/>
        </w:trPr>
        <w:tc>
          <w:tcPr>
            <w:tcW w:type="dxa" w:w="4750"/>
            <w:vMerge w:val="restart"/>
            <w:tcBorders>
              <w:top w:color="000000" w:space="0" w:sz="4" w:val="single"/>
              <w:start w:color="000000" w:space="0" w:sz="4" w:val="single"/>
              <w:bottom w:color="000000" w:space="0" w:sz="4" w:val="single"/>
              <w:end w:val="nil"/>
            </w:tcBorders>
            <w:shd w:fill="auto" w:val="clear"/>
            <w:tcMar>
              <w:start w:type="dxa" w:w="65"/>
            </w:tcMar>
          </w:tcPr>
          <w:p>
            <w:pPr>
              <w:sectPr>
                <w:type w:val="nextPage"/>
                <w:pgSz w:h="16838" w:w="11906"/>
                <w:pgMar w:bottom="567" w:footer="0" w:gutter="0" w:header="0" w:left="567" w:right="567" w:top="567"/>
                <w:pgNumType w:fmt="decimal"/>
                <w:formProt w:val="false"/>
                <w:textDirection w:val="lrTb"/>
              </w:sectPr>
              <w:pStyle w:val="style0"/>
              <w:pageBreakBefore/>
              <w:snapToGrid w:val="false"/>
              <w:rPr/>
            </w:pPr>
            <w:r>
              <w:rPr/>
              <w:t>Auteur : Stéphanie Breuillet-Guyon</w:t>
            </w:r>
          </w:p>
          <w:p>
            <w:pPr>
              <w:pStyle w:val="style0"/>
              <w:rPr/>
            </w:pPr>
            <w:r>
              <w:rPr/>
              <w:t>Établissement : Lycée Bézout</w:t>
            </w:r>
          </w:p>
          <w:p>
            <w:pPr>
              <w:pStyle w:val="style0"/>
              <w:rPr/>
            </w:pPr>
            <w:r>
              <w:rPr/>
              <w:t>Académie : Créteil</w:t>
            </w:r>
          </w:p>
          <w:p>
            <w:pPr>
              <w:pStyle w:val="style0"/>
              <w:rPr/>
            </w:pPr>
            <w:r>
              <w:rPr/>
              <w:t>Relecteur(s) : Jean-Jacques Benaiem</w:t>
            </w:r>
          </w:p>
        </w:tc>
        <w:tc>
          <w:tcPr>
            <w:tcW w:type="dxa" w:w="6041"/>
            <w:tcBorders>
              <w:top w:color="000000" w:space="0" w:sz="4" w:val="single"/>
              <w:start w:color="000000" w:space="0" w:sz="4" w:val="single"/>
              <w:bottom w:color="000000" w:space="0" w:sz="4" w:val="single"/>
              <w:end w:color="000000" w:space="0" w:sz="4" w:val="single"/>
            </w:tcBorders>
            <w:shd w:fill="auto" w:val="clear"/>
            <w:tcMar>
              <w:start w:type="dxa" w:w="65"/>
            </w:tcMar>
          </w:tcPr>
          <w:p>
            <w:pPr>
              <w:pStyle w:val="style0"/>
              <w:snapToGrid w:val="false"/>
              <w:rPr/>
            </w:pPr>
            <w:r>
              <w:rPr/>
              <w:t>Mots-clés : Chômage, causes du chômage</w:t>
            </w:r>
          </w:p>
        </w:tc>
      </w:tr>
      <w:tr>
        <w:trPr>
          <w:trHeight w:hRule="atLeast" w:val="552"/>
          <w:cantSplit w:val="true"/>
        </w:trPr>
        <w:tc>
          <w:tcPr>
            <w:tcW w:type="dxa" w:w="4750"/>
            <w:vMerge w:val="continue"/>
            <w:tcBorders>
              <w:top w:color="000000" w:space="0" w:sz="4" w:val="single"/>
              <w:start w:color="000000" w:space="0" w:sz="4" w:val="single"/>
              <w:bottom w:color="000000" w:space="0" w:sz="4" w:val="single"/>
              <w:end w:val="nil"/>
            </w:tcBorders>
            <w:shd w:fill="auto" w:val="clear"/>
            <w:tcMar>
              <w:start w:type="dxa" w:w="65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6041"/>
            <w:tcBorders>
              <w:top w:color="000000" w:space="0" w:sz="4" w:val="single"/>
              <w:start w:color="000000" w:space="0" w:sz="4" w:val="single"/>
              <w:bottom w:color="000000" w:space="0" w:sz="4" w:val="single"/>
              <w:end w:color="000000" w:space="0" w:sz="4" w:val="single"/>
            </w:tcBorders>
            <w:shd w:fill="F3F3F3" w:val="clear"/>
            <w:tcMar>
              <w:start w:type="dxa" w:w="65"/>
            </w:tcMar>
          </w:tcPr>
          <w:p>
            <w:pPr>
              <w:pStyle w:val="style0"/>
              <w:snapToGrid w:val="false"/>
              <w:rPr/>
            </w:pPr>
            <w:r>
              <w:rPr/>
              <w:t>Date de publication initiale sur le site :</w:t>
            </w:r>
          </w:p>
          <w:p>
            <w:pPr>
              <w:pStyle w:val="style0"/>
              <w:rPr/>
            </w:pPr>
            <w:r>
              <w:rPr/>
              <w:t>juillet 2016</w:t>
            </w:r>
          </w:p>
        </w:tc>
      </w:tr>
    </w:tbl>
    <w:p>
      <w:pPr>
        <w:pStyle w:val="style0"/>
        <w:rPr/>
      </w:pPr>
      <w:r>
        <w:rPr/>
      </w:r>
    </w:p>
    <w:tbl>
      <w:tblPr>
        <w:jc w:val="start"/>
        <w:tblInd w:type="dxa" w:w="-5"/>
        <w:tblBorders>
          <w:top w:color="000000" w:space="0" w:sz="4" w:val="single"/>
          <w:start w:color="000000" w:space="0" w:sz="4" w:val="single"/>
          <w:bottom w:color="000000" w:space="0" w:sz="4" w:val="single"/>
          <w:insideH w:color="000000" w:space="0" w:sz="4" w:val="single"/>
          <w:end w:color="000000" w:space="0" w:sz="4" w:val="single"/>
          <w:insideV w:color="000000" w:space="0" w:sz="4" w:val="single"/>
        </w:tblBorders>
        <w:tblCellMar>
          <w:top w:type="dxa" w:w="0"/>
          <w:start w:type="dxa" w:w="65"/>
          <w:bottom w:type="dxa" w:w="0"/>
          <w:end w:type="dxa" w:w="70"/>
        </w:tblCellMar>
      </w:tblPr>
      <w:tblGrid>
        <w:gridCol w:w="10777"/>
      </w:tblGrid>
      <w:tr>
        <w:trPr>
          <w:trHeight w:hRule="atLeast" w:val="296"/>
          <w:cantSplit w:val="false"/>
        </w:trPr>
        <w:tc>
          <w:tcPr>
            <w:tcW w:type="dxa" w:w="10777"/>
            <w:tcBorders>
              <w:top w:color="000000" w:space="0" w:sz="4" w:val="single"/>
              <w:start w:color="000000" w:space="0" w:sz="4" w:val="single"/>
              <w:bottom w:color="000000" w:space="0" w:sz="4" w:val="single"/>
              <w:end w:color="000000" w:space="0" w:sz="4" w:val="single"/>
            </w:tcBorders>
            <w:shd w:fill="auto" w:val="clear"/>
            <w:tcMar>
              <w:start w:type="dxa" w:w="65"/>
            </w:tcMar>
          </w:tcPr>
          <w:p>
            <w:pPr>
              <w:pStyle w:val="style0"/>
              <w:snapToGrid w:val="false"/>
              <w:rPr/>
            </w:pPr>
            <w:r>
              <w:rPr/>
              <w:t>Discipline : Économie</w:t>
            </w:r>
          </w:p>
        </w:tc>
      </w:tr>
    </w:tbl>
    <w:p>
      <w:pPr>
        <w:pStyle w:val="style0"/>
        <w:rPr/>
      </w:pPr>
      <w:r>
        <w:rPr/>
      </w:r>
    </w:p>
    <w:tbl>
      <w:tblPr>
        <w:jc w:val="start"/>
        <w:tblInd w:type="dxa" w:w="-5"/>
        <w:tblBorders>
          <w:top w:color="000000" w:space="0" w:sz="4" w:val="single"/>
          <w:start w:color="000000" w:space="0" w:sz="4" w:val="single"/>
          <w:bottom w:color="000000" w:space="0" w:sz="4" w:val="single"/>
          <w:insideH w:color="000000" w:space="0" w:sz="4" w:val="single"/>
          <w:end w:color="000000" w:space="0" w:sz="4" w:val="single"/>
          <w:insideV w:color="000000" w:space="0" w:sz="4" w:val="single"/>
        </w:tblBorders>
        <w:tblCellMar>
          <w:top w:type="dxa" w:w="0"/>
          <w:start w:type="dxa" w:w="65"/>
          <w:bottom w:type="dxa" w:w="0"/>
          <w:end w:type="dxa" w:w="70"/>
        </w:tblCellMar>
      </w:tblPr>
      <w:tblGrid>
        <w:gridCol w:w="10762"/>
      </w:tblGrid>
      <w:tr>
        <w:trPr>
          <w:trHeight w:hRule="atLeast" w:val="425"/>
          <w:cantSplit w:val="false"/>
        </w:trPr>
        <w:tc>
          <w:tcPr>
            <w:tcW w:type="dxa" w:w="10762"/>
            <w:tcBorders>
              <w:top w:color="000000" w:space="0" w:sz="4" w:val="single"/>
              <w:start w:color="000000" w:space="0" w:sz="4" w:val="single"/>
              <w:bottom w:color="000000" w:space="0" w:sz="4" w:val="single"/>
              <w:end w:color="000000" w:space="0" w:sz="4" w:val="single"/>
            </w:tcBorders>
            <w:shd w:fill="auto" w:val="clear"/>
            <w:tcMar>
              <w:start w:type="dxa" w:w="65"/>
            </w:tcMar>
          </w:tcPr>
          <w:p>
            <w:pPr>
              <w:pStyle w:val="style0"/>
              <w:snapToGrid w:val="false"/>
              <w:jc w:val="center"/>
              <w:rPr/>
            </w:pPr>
            <w:r>
              <w:rPr/>
              <w:t>INTITULE DE LA SEQUENCE :</w:t>
            </w:r>
          </w:p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LES EXPLICATIONS PRINCIPALES DU CHÔMAGE</w:t>
            </w:r>
          </w:p>
        </w:tc>
      </w:tr>
    </w:tbl>
    <w:p>
      <w:pPr>
        <w:pStyle w:val="style0"/>
        <w:rPr/>
      </w:pPr>
      <w:r>
        <w:rPr/>
      </w:r>
    </w:p>
    <w:tbl>
      <w:tblPr>
        <w:jc w:val="start"/>
        <w:tblInd w:type="dxa" w:w="-5"/>
        <w:tblBorders>
          <w:top w:color="000000" w:space="0" w:sz="4" w:val="single"/>
          <w:start w:color="000000" w:space="0" w:sz="4" w:val="single"/>
          <w:bottom w:color="000000" w:space="0" w:sz="4" w:val="single"/>
          <w:insideH w:color="000000" w:space="0" w:sz="4" w:val="single"/>
          <w:end w:val="nil"/>
          <w:insideV w:val="nil"/>
        </w:tblBorders>
        <w:tblCellMar>
          <w:top w:type="dxa" w:w="0"/>
          <w:start w:type="dxa" w:w="65"/>
          <w:bottom w:type="dxa" w:w="0"/>
          <w:end w:type="dxa" w:w="70"/>
        </w:tblCellMar>
      </w:tblPr>
      <w:tblGrid>
        <w:gridCol w:w="2590"/>
        <w:gridCol w:w="8230"/>
      </w:tblGrid>
      <w:tr>
        <w:trPr>
          <w:cantSplit w:val="false"/>
        </w:trPr>
        <w:tc>
          <w:tcPr>
            <w:tcW w:type="dxa" w:w="2590"/>
            <w:tcBorders>
              <w:top w:color="000000" w:space="0" w:sz="4" w:val="single"/>
              <w:start w:color="000000" w:space="0" w:sz="4" w:val="single"/>
              <w:bottom w:color="000000" w:space="0" w:sz="4" w:val="single"/>
              <w:end w:val="nil"/>
            </w:tcBorders>
            <w:shd w:fill="auto" w:val="clear"/>
            <w:tcMar>
              <w:start w:type="dxa" w:w="65"/>
            </w:tcMar>
          </w:tcPr>
          <w:p>
            <w:pPr>
              <w:pStyle w:val="style0"/>
              <w:snapToGrid w:val="false"/>
              <w:rPr/>
            </w:pPr>
            <w:r>
              <w:rPr/>
              <w:t>Public</w:t>
            </w:r>
          </w:p>
        </w:tc>
        <w:tc>
          <w:tcPr>
            <w:tcW w:type="dxa" w:w="8230"/>
            <w:tcBorders>
              <w:top w:color="000000" w:space="0" w:sz="4" w:val="single"/>
              <w:start w:color="000000" w:space="0" w:sz="4" w:val="single"/>
              <w:bottom w:color="000000" w:space="0" w:sz="4" w:val="single"/>
              <w:end w:color="000000" w:space="0" w:sz="4" w:val="single"/>
            </w:tcBorders>
            <w:shd w:fill="auto" w:val="clear"/>
            <w:tcMar>
              <w:start w:type="dxa" w:w="65"/>
            </w:tcMar>
          </w:tcPr>
          <w:p>
            <w:pPr>
              <w:pStyle w:val="style0"/>
              <w:snapToGrid w:val="false"/>
              <w:rPr/>
            </w:pPr>
            <w:r>
              <w:rPr/>
              <w:t>Classe de Terminale Sciences et Technologies du Management et de la Gestion</w:t>
            </w:r>
          </w:p>
        </w:tc>
      </w:tr>
      <w:tr>
        <w:trPr>
          <w:cantSplit w:val="false"/>
        </w:trPr>
        <w:tc>
          <w:tcPr>
            <w:tcW w:type="dxa" w:w="2590"/>
            <w:tcBorders>
              <w:top w:color="000000" w:space="0" w:sz="4" w:val="single"/>
              <w:start w:color="000000" w:space="0" w:sz="4" w:val="single"/>
              <w:bottom w:color="000000" w:space="0" w:sz="4" w:val="single"/>
              <w:end w:val="nil"/>
            </w:tcBorders>
            <w:shd w:fill="auto" w:val="clear"/>
            <w:tcMar>
              <w:start w:type="dxa" w:w="65"/>
            </w:tcMar>
          </w:tcPr>
          <w:p>
            <w:pPr>
              <w:pStyle w:val="style0"/>
              <w:snapToGrid w:val="false"/>
              <w:rPr/>
            </w:pPr>
            <w:r>
              <w:rPr/>
              <w:t>Place dans le programme</w:t>
            </w:r>
          </w:p>
        </w:tc>
        <w:tc>
          <w:tcPr>
            <w:tcW w:type="dxa" w:w="8230"/>
            <w:tcBorders>
              <w:top w:color="000000" w:space="0" w:sz="4" w:val="single"/>
              <w:start w:color="000000" w:space="0" w:sz="4" w:val="single"/>
              <w:bottom w:color="000000" w:space="0" w:sz="4" w:val="single"/>
              <w:end w:color="000000" w:space="0" w:sz="4" w:val="single"/>
            </w:tcBorders>
            <w:shd w:fill="auto" w:val="clear"/>
            <w:tcMar>
              <w:start w:type="dxa" w:w="65"/>
            </w:tcMar>
          </w:tcPr>
          <w:p>
            <w:pPr>
              <w:pStyle w:val="style0"/>
              <w:snapToGrid w:val="false"/>
              <w:jc w:val="both"/>
              <w:rPr/>
            </w:pPr>
            <w:r>
              <w:rPr/>
              <w:t>VII – Le chômage résulte-t-il de dysfonctionnements sur le marché du travail ?</w:t>
            </w:r>
          </w:p>
          <w:p>
            <w:pPr>
              <w:pStyle w:val="style0"/>
              <w:snapToGrid w:val="false"/>
              <w:jc w:val="both"/>
              <w:rPr/>
            </w:pPr>
            <w:r>
              <w:rPr/>
              <w:t>VII. 2. Les explications principales du chômage</w:t>
            </w:r>
          </w:p>
          <w:p>
            <w:pPr>
              <w:pStyle w:val="style0"/>
              <w:snapToGrid w:val="false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590"/>
            <w:tcBorders>
              <w:top w:color="000000" w:space="0" w:sz="4" w:val="single"/>
              <w:start w:color="000000" w:space="0" w:sz="4" w:val="single"/>
              <w:bottom w:color="000000" w:space="0" w:sz="4" w:val="single"/>
              <w:end w:val="nil"/>
            </w:tcBorders>
            <w:shd w:fill="auto" w:val="clear"/>
            <w:tcMar>
              <w:start w:type="dxa" w:w="65"/>
            </w:tcMar>
          </w:tcPr>
          <w:p>
            <w:pPr>
              <w:pStyle w:val="style0"/>
              <w:snapToGrid w:val="false"/>
              <w:rPr>
                <w:lang w:val="en-GB"/>
              </w:rPr>
            </w:pPr>
            <w:r>
              <w:rPr>
                <w:lang w:val="en-GB"/>
              </w:rPr>
              <w:t>Notions principales</w:t>
            </w:r>
          </w:p>
        </w:tc>
        <w:tc>
          <w:tcPr>
            <w:tcW w:type="dxa" w:w="8230"/>
            <w:tcBorders>
              <w:top w:color="000000" w:space="0" w:sz="4" w:val="single"/>
              <w:start w:color="000000" w:space="0" w:sz="4" w:val="single"/>
              <w:bottom w:color="000000" w:space="0" w:sz="4" w:val="single"/>
              <w:end w:color="000000" w:space="0" w:sz="4" w:val="single"/>
            </w:tcBorders>
            <w:shd w:fill="auto" w:val="clear"/>
            <w:tcMar>
              <w:start w:type="dxa" w:w="65"/>
            </w:tcMar>
          </w:tcPr>
          <w:p>
            <w:pPr>
              <w:pStyle w:val="style0"/>
              <w:numPr>
                <w:ilvl w:val="0"/>
                <w:numId w:val="4"/>
              </w:numPr>
              <w:rPr/>
            </w:pPr>
            <w:r>
              <w:rPr/>
              <w:t>Le chômage et le taux de chômage,</w:t>
            </w:r>
          </w:p>
          <w:p>
            <w:pPr>
              <w:pStyle w:val="style0"/>
              <w:numPr>
                <w:ilvl w:val="0"/>
                <w:numId w:val="4"/>
              </w:numPr>
              <w:rPr/>
            </w:pPr>
            <w:r>
              <w:rPr/>
              <w:t>La flexibilité du marché du travail,</w:t>
            </w:r>
          </w:p>
          <w:p>
            <w:pPr>
              <w:pStyle w:val="style0"/>
              <w:numPr>
                <w:ilvl w:val="0"/>
                <w:numId w:val="4"/>
              </w:numPr>
              <w:rPr/>
            </w:pPr>
            <w:r>
              <w:rPr/>
              <w:t>Le chômage structurel et conjoncturel.</w:t>
            </w:r>
          </w:p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590"/>
            <w:tcBorders>
              <w:top w:color="000000" w:space="0" w:sz="4" w:val="single"/>
              <w:start w:color="000000" w:space="0" w:sz="4" w:val="single"/>
              <w:bottom w:color="000000" w:space="0" w:sz="4" w:val="single"/>
              <w:end w:val="nil"/>
            </w:tcBorders>
            <w:shd w:fill="auto" w:val="clear"/>
            <w:tcMar>
              <w:start w:type="dxa" w:w="65"/>
            </w:tcMar>
          </w:tcPr>
          <w:p>
            <w:pPr>
              <w:pStyle w:val="style0"/>
              <w:snapToGrid w:val="false"/>
              <w:rPr/>
            </w:pPr>
            <w:r>
              <w:rPr/>
              <w:t>Objectifs de la séquence</w:t>
            </w:r>
          </w:p>
        </w:tc>
        <w:tc>
          <w:tcPr>
            <w:tcW w:type="dxa" w:w="8230"/>
            <w:tcBorders>
              <w:top w:color="000000" w:space="0" w:sz="4" w:val="single"/>
              <w:start w:color="000000" w:space="0" w:sz="4" w:val="single"/>
              <w:bottom w:color="000000" w:space="0" w:sz="4" w:val="single"/>
              <w:end w:color="000000" w:space="0" w:sz="4" w:val="single"/>
            </w:tcBorders>
            <w:shd w:fill="auto" w:val="clear"/>
            <w:tcMar>
              <w:start w:type="dxa" w:w="65"/>
            </w:tcMar>
          </w:tcPr>
          <w:p>
            <w:pPr>
              <w:pStyle w:val="style0"/>
              <w:numPr>
                <w:ilvl w:val="0"/>
                <w:numId w:val="1"/>
              </w:numPr>
              <w:jc w:val="both"/>
              <w:rPr/>
            </w:pPr>
            <w:r>
              <w:rPr/>
              <w:t>Comprendre la signification exacte de la notion de chômage,</w:t>
            </w:r>
          </w:p>
          <w:p>
            <w:pPr>
              <w:pStyle w:val="style0"/>
              <w:numPr>
                <w:ilvl w:val="0"/>
                <w:numId w:val="1"/>
              </w:numPr>
              <w:jc w:val="both"/>
              <w:rPr/>
            </w:pPr>
            <w:r>
              <w:rPr/>
              <w:t>Repérer les facteurs qui peuvent expliquer le chômage.</w:t>
            </w:r>
          </w:p>
          <w:p>
            <w:pPr>
              <w:pStyle w:val="style0"/>
              <w:numPr>
                <w:ilvl w:val="0"/>
                <w:numId w:val="1"/>
              </w:numPr>
              <w:jc w:val="both"/>
              <w:rPr/>
            </w:pPr>
            <w:r>
              <w:rPr/>
              <w:t>Observer des dessins de presse et proposer une interprétation,</w:t>
            </w:r>
          </w:p>
          <w:p>
            <w:pPr>
              <w:pStyle w:val="style0"/>
              <w:numPr>
                <w:ilvl w:val="0"/>
                <w:numId w:val="1"/>
              </w:numPr>
              <w:jc w:val="both"/>
              <w:rPr/>
            </w:pPr>
            <w:r>
              <w:rPr/>
              <w:t>Identifier les informations utiles dans un support vidéo pour répondre à des questions ciblées,</w:t>
            </w:r>
          </w:p>
          <w:p>
            <w:pPr>
              <w:pStyle w:val="style0"/>
              <w:numPr>
                <w:ilvl w:val="0"/>
                <w:numId w:val="1"/>
              </w:numPr>
              <w:jc w:val="both"/>
              <w:rPr/>
            </w:pPr>
            <w:r>
              <w:rPr/>
              <w:t>Analyser un ensemble documentaire (articles, tableaux, graphiques) pour formuler des arguments en lien avec un thème imposé.</w:t>
            </w:r>
          </w:p>
          <w:p>
            <w:pPr>
              <w:pStyle w:val="style0"/>
              <w:numPr>
                <w:ilvl w:val="0"/>
                <w:numId w:val="1"/>
              </w:numPr>
              <w:jc w:val="both"/>
              <w:rPr/>
            </w:pPr>
            <w:r>
              <w:rPr/>
              <w:t>Favoriser la discussion / le débat au sein d'un groupe et d'une classe.</w:t>
            </w:r>
          </w:p>
          <w:p>
            <w:pPr>
              <w:pStyle w:val="style0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590"/>
            <w:tcBorders>
              <w:top w:color="000000" w:space="0" w:sz="4" w:val="single"/>
              <w:start w:color="000000" w:space="0" w:sz="4" w:val="single"/>
              <w:bottom w:color="000000" w:space="0" w:sz="4" w:val="single"/>
              <w:end w:val="nil"/>
            </w:tcBorders>
            <w:shd w:fill="auto" w:val="clear"/>
            <w:tcMar>
              <w:start w:type="dxa" w:w="65"/>
            </w:tcMar>
          </w:tcPr>
          <w:p>
            <w:pPr>
              <w:pStyle w:val="style0"/>
              <w:snapToGrid w:val="false"/>
              <w:rPr/>
            </w:pPr>
            <w:r>
              <w:rPr/>
              <w:t>Pré-requis</w:t>
            </w:r>
          </w:p>
        </w:tc>
        <w:tc>
          <w:tcPr>
            <w:tcW w:type="dxa" w:w="8230"/>
            <w:tcBorders>
              <w:top w:color="000000" w:space="0" w:sz="4" w:val="single"/>
              <w:start w:color="000000" w:space="0" w:sz="4" w:val="single"/>
              <w:bottom w:color="000000" w:space="0" w:sz="4" w:val="single"/>
              <w:end w:color="000000" w:space="0" w:sz="4" w:val="single"/>
            </w:tcBorders>
            <w:shd w:fill="auto" w:val="clear"/>
            <w:tcMar>
              <w:start w:type="dxa" w:w="65"/>
            </w:tcMar>
          </w:tcPr>
          <w:p>
            <w:pPr>
              <w:pStyle w:val="style0"/>
              <w:numPr>
                <w:ilvl w:val="0"/>
                <w:numId w:val="2"/>
              </w:numPr>
              <w:snapToGrid w:val="false"/>
              <w:rPr/>
            </w:pPr>
            <w:r>
              <w:rPr/>
              <w:t>Notion d'offre et de demande de travail : Thème VII – 1 : Le fonctionnement du marché du travail.</w:t>
            </w:r>
          </w:p>
          <w:p>
            <w:pPr>
              <w:pStyle w:val="style0"/>
              <w:snapToGrid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590"/>
            <w:tcBorders>
              <w:top w:color="000000" w:space="0" w:sz="4" w:val="single"/>
              <w:start w:color="000000" w:space="0" w:sz="4" w:val="single"/>
              <w:bottom w:color="000000" w:space="0" w:sz="4" w:val="single"/>
              <w:end w:val="nil"/>
            </w:tcBorders>
            <w:shd w:fill="auto" w:val="clear"/>
            <w:tcMar>
              <w:start w:type="dxa" w:w="65"/>
            </w:tcMar>
          </w:tcPr>
          <w:p>
            <w:pPr>
              <w:pStyle w:val="style0"/>
              <w:snapToGrid w:val="false"/>
              <w:rPr/>
            </w:pPr>
            <w:r>
              <w:rPr/>
              <w:t>Supports exploités</w:t>
            </w:r>
          </w:p>
        </w:tc>
        <w:tc>
          <w:tcPr>
            <w:tcW w:type="dxa" w:w="8230"/>
            <w:tcBorders>
              <w:top w:color="000000" w:space="0" w:sz="4" w:val="single"/>
              <w:start w:color="000000" w:space="0" w:sz="4" w:val="single"/>
              <w:bottom w:color="000000" w:space="0" w:sz="4" w:val="single"/>
              <w:end w:color="000000" w:space="0" w:sz="4" w:val="single"/>
            </w:tcBorders>
            <w:shd w:fill="auto" w:val="clear"/>
            <w:tcMar>
              <w:start w:type="dxa" w:w="65"/>
            </w:tcMar>
          </w:tcPr>
          <w:p>
            <w:pPr>
              <w:pStyle w:val="style0"/>
              <w:numPr>
                <w:ilvl w:val="0"/>
                <w:numId w:val="3"/>
              </w:numPr>
              <w:snapToGrid w:val="false"/>
              <w:rPr/>
            </w:pPr>
            <w:r>
              <w:rPr/>
              <w:t>Vidéo Dessine-moi l'éco  : « Comment mesure-t-on le chômage ? » et « D'où vient le chômage ? Que peut-on faire ? »</w:t>
            </w:r>
          </w:p>
          <w:p>
            <w:pPr>
              <w:pStyle w:val="style0"/>
              <w:numPr>
                <w:ilvl w:val="0"/>
                <w:numId w:val="3"/>
              </w:numPr>
              <w:snapToGrid w:val="false"/>
              <w:rPr/>
            </w:pPr>
            <w:r>
              <w:rPr/>
              <w:t>Extrait de film : « La loi du marché » de Stéphane Brizé,</w:t>
            </w:r>
          </w:p>
          <w:p>
            <w:pPr>
              <w:pStyle w:val="style0"/>
              <w:numPr>
                <w:ilvl w:val="0"/>
                <w:numId w:val="3"/>
              </w:numPr>
              <w:snapToGrid w:val="false"/>
              <w:rPr/>
            </w:pPr>
            <w:r>
              <w:rPr/>
              <w:t>Dessins de presse : Plantu et Deligne</w:t>
            </w:r>
          </w:p>
          <w:p>
            <w:pPr>
              <w:pStyle w:val="style0"/>
              <w:numPr>
                <w:ilvl w:val="0"/>
                <w:numId w:val="3"/>
              </w:numPr>
              <w:snapToGrid w:val="false"/>
              <w:rPr/>
            </w:pPr>
            <w:r>
              <w:rPr/>
              <w:t>Ensemble documentaire : Articles, tableaux, graphiques. Sources internet : Pôle emploi, l'IGPDE (Institut de la Gestion Publique et du Développement Économique), l'OCDE, Coe-Rexecode, Alternatives économiques, Le Figaro, Le Point, Le Midi Libre, Sud Ouest.</w:t>
            </w:r>
          </w:p>
          <w:p>
            <w:pPr>
              <w:pStyle w:val="style0"/>
              <w:numPr>
                <w:ilvl w:val="0"/>
                <w:numId w:val="3"/>
              </w:numPr>
              <w:snapToGrid w:val="false"/>
              <w:rPr/>
            </w:pPr>
            <w:r>
              <w:rPr/>
              <w:t>Pour approfondir : Les caractéristiques du chômage : l'INSEE, l'Observatoire des inégalités, la DARES, Public Sénat.</w:t>
            </w:r>
          </w:p>
          <w:p>
            <w:pPr>
              <w:pStyle w:val="style0"/>
              <w:numPr>
                <w:ilvl w:val="0"/>
                <w:numId w:val="3"/>
              </w:numPr>
              <w:snapToGrid w:val="false"/>
              <w:rPr/>
            </w:pPr>
            <w:r>
              <w:rPr/>
              <w:t>Pour élargir la réflexion : Chronique Le Décryptage éco sur France Info.</w:t>
            </w:r>
          </w:p>
          <w:p>
            <w:pPr>
              <w:pStyle w:val="style0"/>
              <w:snapToGrid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590"/>
            <w:tcBorders>
              <w:top w:color="000000" w:space="0" w:sz="4" w:val="single"/>
              <w:start w:color="000000" w:space="0" w:sz="4" w:val="single"/>
              <w:bottom w:color="000000" w:space="0" w:sz="4" w:val="single"/>
              <w:end w:val="nil"/>
            </w:tcBorders>
            <w:shd w:fill="auto" w:val="clear"/>
            <w:tcMar>
              <w:start w:type="dxa" w:w="65"/>
            </w:tcMar>
          </w:tcPr>
          <w:p>
            <w:pPr>
              <w:pStyle w:val="style0"/>
              <w:snapToGrid w:val="false"/>
              <w:rPr/>
            </w:pPr>
            <w:r>
              <w:rPr/>
              <w:t>Organisation de la classe</w:t>
            </w:r>
          </w:p>
        </w:tc>
        <w:tc>
          <w:tcPr>
            <w:tcW w:type="dxa" w:w="8230"/>
            <w:tcBorders>
              <w:top w:color="000000" w:space="0" w:sz="4" w:val="single"/>
              <w:start w:color="000000" w:space="0" w:sz="4" w:val="single"/>
              <w:bottom w:color="000000" w:space="0" w:sz="4" w:val="single"/>
              <w:end w:color="000000" w:space="0" w:sz="4" w:val="single"/>
            </w:tcBorders>
            <w:shd w:fill="auto" w:val="clear"/>
            <w:tcMar>
              <w:start w:type="dxa" w:w="65"/>
            </w:tcMar>
          </w:tcPr>
          <w:p>
            <w:pPr>
              <w:pStyle w:val="style0"/>
              <w:numPr>
                <w:ilvl w:val="0"/>
                <w:numId w:val="3"/>
              </w:numPr>
              <w:snapToGrid w:val="false"/>
              <w:rPr/>
            </w:pPr>
            <w:r>
              <w:rPr/>
              <w:t>Partie 1 : En classe entière. Poste informatique professeur avec vidéo-projecteur.</w:t>
            </w:r>
          </w:p>
          <w:p>
            <w:pPr>
              <w:pStyle w:val="style0"/>
              <w:numPr>
                <w:ilvl w:val="0"/>
                <w:numId w:val="3"/>
              </w:numPr>
              <w:snapToGrid w:val="false"/>
              <w:rPr/>
            </w:pPr>
            <w:r>
              <w:rPr/>
              <w:t>Partie 2 : En classe entière ou en groupe à effectif réduit.</w:t>
            </w:r>
          </w:p>
          <w:p>
            <w:pPr>
              <w:pStyle w:val="style0"/>
              <w:numPr>
                <w:ilvl w:val="0"/>
                <w:numId w:val="3"/>
              </w:numPr>
              <w:snapToGrid w:val="false"/>
              <w:rPr/>
            </w:pPr>
            <w:r>
              <w:rPr/>
              <w:t>Caractéristiques chômage : Travail d'analyse et de synthèse en groupe à effectif réduit ou travail à la maison.</w:t>
            </w:r>
          </w:p>
          <w:p>
            <w:pPr>
              <w:pStyle w:val="style0"/>
              <w:snapToGrid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590"/>
            <w:tcBorders>
              <w:top w:color="000000" w:space="0" w:sz="4" w:val="single"/>
              <w:start w:color="000000" w:space="0" w:sz="4" w:val="single"/>
              <w:bottom w:color="000000" w:space="0" w:sz="4" w:val="single"/>
              <w:end w:val="nil"/>
            </w:tcBorders>
            <w:shd w:fill="auto" w:val="clear"/>
            <w:tcMar>
              <w:start w:type="dxa" w:w="65"/>
            </w:tcMar>
          </w:tcPr>
          <w:p>
            <w:pPr>
              <w:pStyle w:val="style0"/>
              <w:snapToGrid w:val="false"/>
              <w:rPr/>
            </w:pPr>
            <w:r>
              <w:rPr/>
              <w:t>Temps prévu</w:t>
            </w:r>
          </w:p>
        </w:tc>
        <w:tc>
          <w:tcPr>
            <w:tcW w:type="dxa" w:w="8230"/>
            <w:tcBorders>
              <w:top w:color="000000" w:space="0" w:sz="4" w:val="single"/>
              <w:start w:color="000000" w:space="0" w:sz="4" w:val="single"/>
              <w:bottom w:color="000000" w:space="0" w:sz="4" w:val="single"/>
              <w:end w:color="000000" w:space="0" w:sz="4" w:val="single"/>
            </w:tcBorders>
            <w:shd w:fill="auto" w:val="clear"/>
            <w:tcMar>
              <w:start w:type="dxa" w:w="65"/>
            </w:tcMar>
          </w:tcPr>
          <w:p>
            <w:pPr>
              <w:pStyle w:val="style0"/>
              <w:numPr>
                <w:ilvl w:val="0"/>
                <w:numId w:val="3"/>
              </w:numPr>
              <w:snapToGrid w:val="false"/>
              <w:rPr/>
            </w:pPr>
            <w:r>
              <w:rPr/>
              <w:t>1 heure pour la partie 1</w:t>
            </w:r>
          </w:p>
          <w:p>
            <w:pPr>
              <w:pStyle w:val="style0"/>
              <w:numPr>
                <w:ilvl w:val="0"/>
                <w:numId w:val="3"/>
              </w:numPr>
              <w:snapToGrid w:val="false"/>
              <w:rPr/>
            </w:pPr>
            <w:r>
              <w:rPr/>
              <w:t>2 heures pour la partie 2 (1 heure d'analyse, 1 heure pour les présentations orales et les échanges)</w:t>
            </w:r>
          </w:p>
          <w:p>
            <w:pPr>
              <w:pStyle w:val="style0"/>
              <w:numPr>
                <w:ilvl w:val="0"/>
                <w:numId w:val="3"/>
              </w:numPr>
              <w:snapToGrid w:val="false"/>
              <w:rPr/>
            </w:pPr>
            <w:r>
              <w:rPr/>
              <w:t>1h pour l'analyse et la synthèse des caractéristiques du chômage.</w:t>
            </w:r>
          </w:p>
          <w:p>
            <w:pPr>
              <w:pStyle w:val="style0"/>
              <w:snapToGrid w:val="false"/>
              <w:rPr/>
            </w:pPr>
            <w:r>
              <w:rPr/>
            </w:r>
          </w:p>
        </w:tc>
      </w:tr>
    </w:tbl>
    <w:p>
      <w:pPr>
        <w:pStyle w:val="style0"/>
        <w:rPr/>
      </w:pPr>
      <w:r>
        <w:rPr/>
      </w:r>
    </w:p>
    <w:sectPr>
      <w:type w:val="nextPage"/>
      <w:pgSz w:h="16838" w:w="11906"/>
      <w:pgMar w:bottom="567" w:footer="0" w:gutter="0" w:header="0" w:left="567" w:right="567" w:top="567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characterSet="windows-1252" w:val="00"/>
    <w:family w:val="roman"/>
    <w:pitch w:val="variable"/>
  </w:font>
  <w:font w:name="Symbol">
    <w:charset w:val="02"/>
    <w:family w:val="roman"/>
    <w:pitch w:val="variable"/>
  </w:font>
  <w:font w:name="Arial">
    <w:charset w:characterSet="windows-1252" w:val="00"/>
    <w:family w:val="swiss"/>
    <w:pitch w:val="variable"/>
  </w:font>
  <w:font w:name="Courier New">
    <w:charset w:characterSet="windows-1252" w:val="00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characterSet="windows-1252" w:val="00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"/>
      <w:lvlJc w:val="start"/>
      <w:pPr>
        <w:ind w:hanging="360" w:start="36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start"/>
      <w:pPr>
        <w:ind w:hanging="360" w:start="108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start"/>
      <w:pPr>
        <w:ind w:hanging="360" w:start="180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start"/>
      <w:pPr>
        <w:ind w:hanging="360" w:start="252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start"/>
      <w:pPr>
        <w:ind w:hanging="360" w:start="324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start"/>
      <w:pPr>
        <w:ind w:hanging="360" w:start="396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start"/>
      <w:pPr>
        <w:ind w:hanging="360" w:start="468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start"/>
      <w:pPr>
        <w:ind w:hanging="360" w:start="540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start"/>
      <w:pPr>
        <w:ind w:hanging="360" w:start="612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Text w:val=""/>
      <w:lvlJc w:val="start"/>
      <w:pPr>
        <w:ind w:hanging="360" w:start="36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start"/>
      <w:pPr>
        <w:ind w:hanging="360" w:start="108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start"/>
      <w:pPr>
        <w:ind w:hanging="360" w:start="180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start"/>
      <w:pPr>
        <w:ind w:hanging="360" w:start="252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start"/>
      <w:pPr>
        <w:ind w:hanging="360" w:start="324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start"/>
      <w:pPr>
        <w:ind w:hanging="360" w:start="396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start"/>
      <w:pPr>
        <w:ind w:hanging="360" w:start="468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start"/>
      <w:pPr>
        <w:ind w:hanging="360" w:start="540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start"/>
      <w:pPr>
        <w:ind w:hanging="360" w:start="612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Text w:val=""/>
      <w:lvlJc w:val="start"/>
      <w:pPr>
        <w:ind w:hanging="360" w:start="36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start"/>
      <w:pPr>
        <w:ind w:hanging="360" w:start="108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start"/>
      <w:pPr>
        <w:ind w:hanging="360" w:start="180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start"/>
      <w:pPr>
        <w:ind w:hanging="360" w:start="252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start"/>
      <w:pPr>
        <w:ind w:hanging="360" w:start="324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start"/>
      <w:pPr>
        <w:ind w:hanging="360" w:start="396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start"/>
      <w:pPr>
        <w:ind w:hanging="360" w:start="468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start"/>
      <w:pPr>
        <w:ind w:hanging="360" w:start="540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start"/>
      <w:pPr>
        <w:ind w:hanging="360" w:start="612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bullet"/>
      <w:lvlText w:val=""/>
      <w:lvlJc w:val="start"/>
      <w:pPr>
        <w:ind w:hanging="360" w:start="720"/>
      </w:pPr>
      <w:rPr>
        <w:rFonts w:ascii="Symbol" w:cs="Symbol" w:hAnsi="Symbol" w:hint="default"/>
      </w:rPr>
    </w:lvl>
    <w:lvl w:ilvl="1">
      <w:start w:val="1"/>
      <w:numFmt w:val="bullet"/>
      <w:lvlText w:val=""/>
      <w:lvlJc w:val="start"/>
      <w:pPr>
        <w:ind w:hanging="360" w:start="1080"/>
      </w:pPr>
      <w:rPr>
        <w:rFonts w:ascii="Symbol" w:cs="Symbol" w:hAnsi="Symbol" w:hint="default"/>
      </w:rPr>
    </w:lvl>
    <w:lvl w:ilvl="2">
      <w:start w:val="1"/>
      <w:numFmt w:val="bullet"/>
      <w:lvlText w:val=""/>
      <w:lvlJc w:val="start"/>
      <w:pPr>
        <w:ind w:hanging="360" w:start="1440"/>
      </w:pPr>
      <w:rPr>
        <w:rFonts w:ascii="Symbol" w:cs="Symbol" w:hAnsi="Symbol" w:hint="default"/>
      </w:rPr>
    </w:lvl>
    <w:lvl w:ilvl="3">
      <w:start w:val="1"/>
      <w:numFmt w:val="bullet"/>
      <w:lvlText w:val=""/>
      <w:lvlJc w:val="start"/>
      <w:pPr>
        <w:ind w:hanging="360" w:start="1800"/>
      </w:pPr>
      <w:rPr>
        <w:rFonts w:ascii="Symbol" w:cs="Symbol" w:hAnsi="Symbol" w:hint="default"/>
      </w:rPr>
    </w:lvl>
    <w:lvl w:ilvl="4">
      <w:start w:val="1"/>
      <w:numFmt w:val="bullet"/>
      <w:lvlText w:val=""/>
      <w:lvlJc w:val="start"/>
      <w:pPr>
        <w:ind w:hanging="360" w:start="2160"/>
      </w:pPr>
      <w:rPr>
        <w:rFonts w:ascii="Symbol" w:cs="Symbol" w:hAnsi="Symbol" w:hint="default"/>
      </w:rPr>
    </w:lvl>
    <w:lvl w:ilvl="5">
      <w:start w:val="1"/>
      <w:numFmt w:val="bullet"/>
      <w:lvlText w:val=""/>
      <w:lvlJc w:val="start"/>
      <w:pPr>
        <w:ind w:hanging="360" w:start="2520"/>
      </w:pPr>
      <w:rPr>
        <w:rFonts w:ascii="Symbol" w:cs="Symbol" w:hAnsi="Symbol" w:hint="default"/>
      </w:rPr>
    </w:lvl>
    <w:lvl w:ilvl="6">
      <w:start w:val="1"/>
      <w:numFmt w:val="bullet"/>
      <w:lvlText w:val=""/>
      <w:lvlJc w:val="start"/>
      <w:pPr>
        <w:ind w:hanging="360" w:start="2880"/>
      </w:pPr>
      <w:rPr>
        <w:rFonts w:ascii="Symbol" w:cs="Symbol" w:hAnsi="Symbol" w:hint="default"/>
      </w:rPr>
    </w:lvl>
    <w:lvl w:ilvl="7">
      <w:start w:val="1"/>
      <w:numFmt w:val="bullet"/>
      <w:lvlText w:val=""/>
      <w:lvlJc w:val="start"/>
      <w:pPr>
        <w:ind w:hanging="360" w:start="3240"/>
      </w:pPr>
      <w:rPr>
        <w:rFonts w:ascii="Symbol" w:cs="Symbol" w:hAnsi="Symbol" w:hint="default"/>
      </w:rPr>
    </w:lvl>
    <w:lvl w:ilvl="8">
      <w:start w:val="1"/>
      <w:numFmt w:val="bullet"/>
      <w:lvlText w:val=""/>
      <w:lvlJc w:val="start"/>
      <w:pPr>
        <w:ind w:hanging="360" w:start="3600"/>
      </w:pPr>
      <w:rPr>
        <w:rFonts w:ascii="Symbol" w:cs="Symbol" w:hAnsi="Symbol" w:hint="default"/>
      </w:rPr>
    </w:lvl>
  </w:abstractNum>
  <w:abstractNum w:abstractNumId="5">
    <w:lvl w:ilvl="0">
      <w:start w:val="1"/>
      <w:numFmt w:val="none"/>
      <w:suff w:val="nothing"/>
      <w:lvlText w:val=""/>
      <w:lvlJc w:val="start"/>
      <w:pPr>
        <w:tabs>
          <w:tab w:pos="432" w:val="num"/>
        </w:tabs>
        <w:ind w:hanging="432" w:start="432"/>
      </w:pPr>
    </w:lvl>
    <w:lvl w:ilvl="1">
      <w:start w:val="1"/>
      <w:numFmt w:val="none"/>
      <w:suff w:val="nothing"/>
      <w:lvlText w:val=""/>
      <w:lvlJc w:val="start"/>
      <w:pPr>
        <w:tabs>
          <w:tab w:pos="576" w:val="num"/>
        </w:tabs>
        <w:ind w:hanging="576" w:start="576"/>
      </w:pPr>
    </w:lvl>
    <w:lvl w:ilvl="2">
      <w:start w:val="1"/>
      <w:numFmt w:val="none"/>
      <w:suff w:val="nothing"/>
      <w:lvlText w:val=""/>
      <w:lvlJc w:val="start"/>
      <w:pPr>
        <w:tabs>
          <w:tab w:pos="720" w:val="num"/>
        </w:tabs>
        <w:ind w:hanging="720" w:start="720"/>
      </w:pPr>
    </w:lvl>
    <w:lvl w:ilvl="3">
      <w:start w:val="1"/>
      <w:numFmt w:val="none"/>
      <w:suff w:val="nothing"/>
      <w:lvlText w:val=""/>
      <w:lvlJc w:val="start"/>
      <w:pPr>
        <w:tabs>
          <w:tab w:pos="864" w:val="num"/>
        </w:tabs>
        <w:ind w:hanging="864" w:start="864"/>
      </w:pPr>
    </w:lvl>
    <w:lvl w:ilvl="4">
      <w:start w:val="1"/>
      <w:numFmt w:val="none"/>
      <w:suff w:val="nothing"/>
      <w:lvlText w:val=""/>
      <w:lvlJc w:val="start"/>
      <w:pPr>
        <w:tabs>
          <w:tab w:pos="1008" w:val="num"/>
        </w:tabs>
        <w:ind w:hanging="1008" w:start="1008"/>
      </w:pPr>
    </w:lvl>
    <w:lvl w:ilvl="5">
      <w:start w:val="1"/>
      <w:numFmt w:val="none"/>
      <w:suff w:val="nothing"/>
      <w:lvlText w:val=""/>
      <w:lvlJc w:val="start"/>
      <w:pPr>
        <w:tabs>
          <w:tab w:pos="1152" w:val="num"/>
        </w:tabs>
        <w:ind w:hanging="1152" w:start="1152"/>
      </w:pPr>
    </w:lvl>
    <w:lvl w:ilvl="6">
      <w:start w:val="1"/>
      <w:numFmt w:val="none"/>
      <w:suff w:val="nothing"/>
      <w:lvlText w:val=""/>
      <w:lvlJc w:val="start"/>
      <w:pPr>
        <w:tabs>
          <w:tab w:pos="1296" w:val="num"/>
        </w:tabs>
        <w:ind w:hanging="1296" w:start="1296"/>
      </w:pPr>
    </w:lvl>
    <w:lvl w:ilvl="7">
      <w:start w:val="1"/>
      <w:numFmt w:val="none"/>
      <w:suff w:val="nothing"/>
      <w:lvlText w:val=""/>
      <w:lvlJc w:val="start"/>
      <w:pPr>
        <w:tabs>
          <w:tab w:pos="1440" w:val="num"/>
        </w:tabs>
        <w:ind w:hanging="1440" w:start="1440"/>
      </w:pPr>
    </w:lvl>
    <w:lvl w:ilvl="8">
      <w:start w:val="1"/>
      <w:numFmt w:val="none"/>
      <w:suff w:val="nothing"/>
      <w:lvlText w:val=""/>
      <w:lvlJc w:val="start"/>
      <w:pPr>
        <w:tabs>
          <w:tab w:pos="1584" w:val="num"/>
        </w:tabs>
        <w:ind w:hanging="1584" w:star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keepNext/>
      <w:keepLines w:val="false"/>
      <w:pageBreakBefore w:val="false"/>
      <w:widowControl w:val="false"/>
      <w:pBdr>
        <w:top w:val="nil"/>
        <w:left w:val="nil"/>
        <w:bottom w:val="nil"/>
        <w:insideH w:val="nil"/>
        <w:right w:val="nil"/>
        <w:insideV w:val="nil"/>
      </w:pBdr>
      <w:shd w:fill="auto" w:val="clear"/>
      <w:suppressAutoHyphens w:val="true"/>
      <w:kinsoku w:val="true"/>
      <w:overflowPunct w:val="true"/>
      <w:autoSpaceDE w:val="true"/>
      <w:snapToGrid w:val="true"/>
      <w:spacing w:line="100" w:lineRule="atLeast"/>
      <w:jc w:val="start"/>
      <w:textAlignment w:val="baseline"/>
    </w:pPr>
    <w:rPr>
      <w:rFonts w:ascii="Times New Roman" w:cs="Mangal" w:eastAsia="SimSu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shd w:fill="auto" w:val="clear"/>
      <w:vertAlign w:val="baseline"/>
      <w:em w:val="none"/>
      <w:lang w:bidi="hi-IN" w:eastAsia="zh-CN" w:val="fr-FR"/>
    </w:rPr>
  </w:style>
  <w:style w:styleId="style15" w:type="character">
    <w:name w:val="Police par défaut"/>
    <w:next w:val="style15"/>
    <w:rPr/>
  </w:style>
  <w:style w:styleId="style16" w:type="character">
    <w:name w:val="Caractères de numérotation"/>
    <w:next w:val="style16"/>
    <w:rPr/>
  </w:style>
  <w:style w:styleId="style17" w:type="character">
    <w:name w:val="WW_CharLFO1LVL1"/>
    <w:next w:val="style17"/>
    <w:rPr>
      <w:rFonts w:ascii="Symbol" w:hAnsi="Symbol"/>
    </w:rPr>
  </w:style>
  <w:style w:styleId="style18" w:type="character">
    <w:name w:val="WW_CharLFO1LVL2"/>
    <w:next w:val="style18"/>
    <w:rPr>
      <w:rFonts w:ascii="Courier New" w:cs="Courier New" w:hAnsi="Courier New"/>
    </w:rPr>
  </w:style>
  <w:style w:styleId="style19" w:type="character">
    <w:name w:val="WW_CharLFO1LVL3"/>
    <w:next w:val="style19"/>
    <w:rPr>
      <w:rFonts w:ascii="Wingdings" w:hAnsi="Wingdings"/>
    </w:rPr>
  </w:style>
  <w:style w:styleId="style20" w:type="character">
    <w:name w:val="WW_CharLFO1LVL4"/>
    <w:next w:val="style20"/>
    <w:rPr>
      <w:rFonts w:ascii="Symbol" w:hAnsi="Symbol"/>
    </w:rPr>
  </w:style>
  <w:style w:styleId="style21" w:type="character">
    <w:name w:val="WW_CharLFO1LVL5"/>
    <w:next w:val="style21"/>
    <w:rPr>
      <w:rFonts w:ascii="Courier New" w:cs="Courier New" w:hAnsi="Courier New"/>
    </w:rPr>
  </w:style>
  <w:style w:styleId="style22" w:type="character">
    <w:name w:val="WW_CharLFO1LVL6"/>
    <w:next w:val="style22"/>
    <w:rPr>
      <w:rFonts w:ascii="Wingdings" w:hAnsi="Wingdings"/>
    </w:rPr>
  </w:style>
  <w:style w:styleId="style23" w:type="character">
    <w:name w:val="WW_CharLFO1LVL7"/>
    <w:next w:val="style23"/>
    <w:rPr>
      <w:rFonts w:ascii="Symbol" w:hAnsi="Symbol"/>
    </w:rPr>
  </w:style>
  <w:style w:styleId="style24" w:type="character">
    <w:name w:val="WW_CharLFO1LVL8"/>
    <w:next w:val="style24"/>
    <w:rPr>
      <w:rFonts w:ascii="Courier New" w:cs="Courier New" w:hAnsi="Courier New"/>
    </w:rPr>
  </w:style>
  <w:style w:styleId="style25" w:type="character">
    <w:name w:val="WW_CharLFO1LVL9"/>
    <w:next w:val="style25"/>
    <w:rPr>
      <w:rFonts w:ascii="Wingdings" w:hAnsi="Wingdings"/>
    </w:rPr>
  </w:style>
  <w:style w:styleId="style26" w:type="character">
    <w:name w:val="WW_CharLFO2LVL1"/>
    <w:next w:val="style26"/>
    <w:rPr>
      <w:rFonts w:ascii="Symbol" w:hAnsi="Symbol"/>
    </w:rPr>
  </w:style>
  <w:style w:styleId="style27" w:type="character">
    <w:name w:val="WW_CharLFO2LVL2"/>
    <w:next w:val="style27"/>
    <w:rPr>
      <w:rFonts w:ascii="Courier New" w:cs="Courier New" w:hAnsi="Courier New"/>
    </w:rPr>
  </w:style>
  <w:style w:styleId="style28" w:type="character">
    <w:name w:val="WW_CharLFO2LVL3"/>
    <w:next w:val="style28"/>
    <w:rPr>
      <w:rFonts w:ascii="Wingdings" w:hAnsi="Wingdings"/>
    </w:rPr>
  </w:style>
  <w:style w:styleId="style29" w:type="character">
    <w:name w:val="WW_CharLFO2LVL4"/>
    <w:next w:val="style29"/>
    <w:rPr>
      <w:rFonts w:ascii="Symbol" w:hAnsi="Symbol"/>
    </w:rPr>
  </w:style>
  <w:style w:styleId="style30" w:type="character">
    <w:name w:val="WW_CharLFO2LVL5"/>
    <w:next w:val="style30"/>
    <w:rPr>
      <w:rFonts w:ascii="Courier New" w:cs="Courier New" w:hAnsi="Courier New"/>
    </w:rPr>
  </w:style>
  <w:style w:styleId="style31" w:type="character">
    <w:name w:val="WW_CharLFO2LVL6"/>
    <w:next w:val="style31"/>
    <w:rPr>
      <w:rFonts w:ascii="Wingdings" w:hAnsi="Wingdings"/>
    </w:rPr>
  </w:style>
  <w:style w:styleId="style32" w:type="character">
    <w:name w:val="WW_CharLFO2LVL7"/>
    <w:next w:val="style32"/>
    <w:rPr>
      <w:rFonts w:ascii="Symbol" w:hAnsi="Symbol"/>
    </w:rPr>
  </w:style>
  <w:style w:styleId="style33" w:type="character">
    <w:name w:val="WW_CharLFO2LVL8"/>
    <w:next w:val="style33"/>
    <w:rPr>
      <w:rFonts w:ascii="Courier New" w:cs="Courier New" w:hAnsi="Courier New"/>
    </w:rPr>
  </w:style>
  <w:style w:styleId="style34" w:type="character">
    <w:name w:val="WW_CharLFO2LVL9"/>
    <w:next w:val="style34"/>
    <w:rPr>
      <w:rFonts w:ascii="Wingdings" w:hAnsi="Wingdings"/>
    </w:rPr>
  </w:style>
  <w:style w:styleId="style35" w:type="character">
    <w:name w:val="WW_CharLFO3LVL1"/>
    <w:next w:val="style35"/>
    <w:rPr>
      <w:rFonts w:ascii="Symbol" w:hAnsi="Symbol"/>
    </w:rPr>
  </w:style>
  <w:style w:styleId="style36" w:type="character">
    <w:name w:val="WW_CharLFO3LVL2"/>
    <w:next w:val="style36"/>
    <w:rPr>
      <w:rFonts w:ascii="Courier New" w:hAnsi="Courier New"/>
    </w:rPr>
  </w:style>
  <w:style w:styleId="style37" w:type="character">
    <w:name w:val="WW_CharLFO3LVL3"/>
    <w:next w:val="style37"/>
    <w:rPr>
      <w:rFonts w:ascii="Wingdings" w:hAnsi="Wingdings"/>
    </w:rPr>
  </w:style>
  <w:style w:styleId="style38" w:type="character">
    <w:name w:val="WW_CharLFO3LVL4"/>
    <w:next w:val="style38"/>
    <w:rPr>
      <w:rFonts w:ascii="Symbol" w:hAnsi="Symbol"/>
    </w:rPr>
  </w:style>
  <w:style w:styleId="style39" w:type="character">
    <w:name w:val="WW_CharLFO3LVL5"/>
    <w:next w:val="style39"/>
    <w:rPr>
      <w:rFonts w:ascii="Courier New" w:hAnsi="Courier New"/>
    </w:rPr>
  </w:style>
  <w:style w:styleId="style40" w:type="character">
    <w:name w:val="WW_CharLFO3LVL6"/>
    <w:next w:val="style40"/>
    <w:rPr>
      <w:rFonts w:ascii="Wingdings" w:hAnsi="Wingdings"/>
    </w:rPr>
  </w:style>
  <w:style w:styleId="style41" w:type="character">
    <w:name w:val="WW_CharLFO3LVL7"/>
    <w:next w:val="style41"/>
    <w:rPr>
      <w:rFonts w:ascii="Symbol" w:hAnsi="Symbol"/>
    </w:rPr>
  </w:style>
  <w:style w:styleId="style42" w:type="character">
    <w:name w:val="WW_CharLFO3LVL8"/>
    <w:next w:val="style42"/>
    <w:rPr>
      <w:rFonts w:ascii="Courier New" w:hAnsi="Courier New"/>
    </w:rPr>
  </w:style>
  <w:style w:styleId="style43" w:type="character">
    <w:name w:val="WW_CharLFO3LVL9"/>
    <w:next w:val="style43"/>
    <w:rPr>
      <w:rFonts w:ascii="Wingdings" w:hAnsi="Wingdings"/>
    </w:rPr>
  </w:style>
  <w:style w:styleId="style44" w:type="character">
    <w:name w:val="WW_CharLFO4LVL1"/>
    <w:next w:val="style44"/>
    <w:rPr>
      <w:rFonts w:ascii="OpenSymbol;Arial Unicode MS" w:cs="OpenSymbol;Arial Unicode MS" w:eastAsia="OpenSymbol;Arial Unicode MS" w:hAnsi="OpenSymbol;Arial Unicode MS"/>
    </w:rPr>
  </w:style>
  <w:style w:styleId="style45" w:type="character">
    <w:name w:val="WW_CharLFO4LVL2"/>
    <w:next w:val="style45"/>
    <w:rPr>
      <w:rFonts w:ascii="OpenSymbol;Arial Unicode MS" w:cs="OpenSymbol;Arial Unicode MS" w:eastAsia="OpenSymbol;Arial Unicode MS" w:hAnsi="OpenSymbol;Arial Unicode MS"/>
    </w:rPr>
  </w:style>
  <w:style w:styleId="style46" w:type="character">
    <w:name w:val="WW_CharLFO4LVL3"/>
    <w:next w:val="style46"/>
    <w:rPr>
      <w:rFonts w:ascii="OpenSymbol;Arial Unicode MS" w:cs="OpenSymbol;Arial Unicode MS" w:eastAsia="OpenSymbol;Arial Unicode MS" w:hAnsi="OpenSymbol;Arial Unicode MS"/>
    </w:rPr>
  </w:style>
  <w:style w:styleId="style47" w:type="character">
    <w:name w:val="WW_CharLFO4LVL4"/>
    <w:next w:val="style47"/>
    <w:rPr>
      <w:rFonts w:ascii="OpenSymbol;Arial Unicode MS" w:cs="OpenSymbol;Arial Unicode MS" w:eastAsia="OpenSymbol;Arial Unicode MS" w:hAnsi="OpenSymbol;Arial Unicode MS"/>
    </w:rPr>
  </w:style>
  <w:style w:styleId="style48" w:type="character">
    <w:name w:val="WW_CharLFO4LVL5"/>
    <w:next w:val="style48"/>
    <w:rPr>
      <w:rFonts w:ascii="OpenSymbol;Arial Unicode MS" w:cs="OpenSymbol;Arial Unicode MS" w:eastAsia="OpenSymbol;Arial Unicode MS" w:hAnsi="OpenSymbol;Arial Unicode MS"/>
    </w:rPr>
  </w:style>
  <w:style w:styleId="style49" w:type="character">
    <w:name w:val="WW_CharLFO4LVL6"/>
    <w:next w:val="style49"/>
    <w:rPr>
      <w:rFonts w:ascii="OpenSymbol;Arial Unicode MS" w:cs="OpenSymbol;Arial Unicode MS" w:eastAsia="OpenSymbol;Arial Unicode MS" w:hAnsi="OpenSymbol;Arial Unicode MS"/>
    </w:rPr>
  </w:style>
  <w:style w:styleId="style50" w:type="character">
    <w:name w:val="WW_CharLFO4LVL7"/>
    <w:next w:val="style50"/>
    <w:rPr>
      <w:rFonts w:ascii="OpenSymbol;Arial Unicode MS" w:cs="OpenSymbol;Arial Unicode MS" w:eastAsia="OpenSymbol;Arial Unicode MS" w:hAnsi="OpenSymbol;Arial Unicode MS"/>
    </w:rPr>
  </w:style>
  <w:style w:styleId="style51" w:type="character">
    <w:name w:val="WW_CharLFO4LVL8"/>
    <w:next w:val="style51"/>
    <w:rPr>
      <w:rFonts w:ascii="OpenSymbol;Arial Unicode MS" w:cs="OpenSymbol;Arial Unicode MS" w:eastAsia="OpenSymbol;Arial Unicode MS" w:hAnsi="OpenSymbol;Arial Unicode MS"/>
    </w:rPr>
  </w:style>
  <w:style w:styleId="style52" w:type="character">
    <w:name w:val="WW_CharLFO4LVL9"/>
    <w:next w:val="style52"/>
    <w:rPr>
      <w:rFonts w:ascii="OpenSymbol;Arial Unicode MS" w:cs="OpenSymbol;Arial Unicode MS" w:eastAsia="OpenSymbol;Arial Unicode MS" w:hAnsi="OpenSymbol;Arial Unicode MS"/>
    </w:rPr>
  </w:style>
  <w:style w:styleId="style53" w:type="paragraph">
    <w:name w:val="LO-Normal"/>
    <w:next w:val="style53"/>
    <w:pPr>
      <w:keepNext/>
      <w:keepLines w:val="false"/>
      <w:pageBreakBefore w:val="false"/>
      <w:widowControl w:val="false"/>
      <w:pBdr>
        <w:top w:val="nil"/>
        <w:left w:val="nil"/>
        <w:bottom w:val="nil"/>
        <w:insideH w:val="nil"/>
        <w:right w:val="nil"/>
        <w:insideV w:val="nil"/>
      </w:pBdr>
      <w:shd w:fill="auto" w:val="clear"/>
      <w:suppressAutoHyphens w:val="true"/>
      <w:kinsoku w:val="true"/>
      <w:overflowPunct w:val="true"/>
      <w:autoSpaceDE w:val="true"/>
      <w:snapToGrid w:val="true"/>
      <w:spacing w:line="100" w:lineRule="atLeast"/>
      <w:jc w:val="start"/>
      <w:textAlignment w:val="baseline"/>
    </w:pPr>
    <w:rPr>
      <w:rFonts w:ascii="Times New Roman" w:cs="Mangal" w:eastAsia="SimSu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shd w:fill="auto" w:val="clear"/>
      <w:vertAlign w:val="baseline"/>
      <w:em w:val="none"/>
      <w:lang w:bidi="hi-IN" w:eastAsia="zh-CN" w:val="fr-FR"/>
    </w:rPr>
  </w:style>
  <w:style w:styleId="style54" w:type="paragraph">
    <w:name w:val="Titre"/>
    <w:basedOn w:val="style0"/>
    <w:next w:val="style55"/>
    <w:pPr>
      <w:keepNext/>
      <w:suppressAutoHyphens w:val="true"/>
      <w:spacing w:after="120" w:before="240"/>
      <w:contextualSpacing w:val="false"/>
    </w:pPr>
    <w:rPr>
      <w:rFonts w:ascii="Arial" w:eastAsia="Microsoft YaHei" w:hAnsi="Arial"/>
      <w:sz w:val="28"/>
      <w:szCs w:val="28"/>
    </w:rPr>
  </w:style>
  <w:style w:styleId="style55" w:type="paragraph">
    <w:name w:val="Corps de texte"/>
    <w:basedOn w:val="style0"/>
    <w:next w:val="style55"/>
    <w:pPr>
      <w:suppressAutoHyphens w:val="true"/>
      <w:spacing w:after="120" w:before="0"/>
      <w:contextualSpacing w:val="false"/>
    </w:pPr>
    <w:rPr/>
  </w:style>
  <w:style w:styleId="style56" w:type="paragraph">
    <w:name w:val="Liste"/>
    <w:basedOn w:val="style55"/>
    <w:next w:val="style56"/>
    <w:pPr>
      <w:suppressAutoHyphens w:val="true"/>
    </w:pPr>
    <w:rPr/>
  </w:style>
  <w:style w:styleId="style57" w:type="paragraph">
    <w:name w:val="Légende"/>
    <w:basedOn w:val="style0"/>
    <w:next w:val="style57"/>
    <w:pPr>
      <w:suppressLineNumbers/>
      <w:suppressAutoHyphens w:val="true"/>
      <w:spacing w:after="120" w:before="120"/>
      <w:contextualSpacing w:val="false"/>
    </w:pPr>
    <w:rPr>
      <w:i/>
      <w:iCs/>
    </w:rPr>
  </w:style>
  <w:style w:styleId="style58" w:type="paragraph">
    <w:name w:val="Index"/>
    <w:basedOn w:val="style0"/>
    <w:next w:val="style58"/>
    <w:pPr>
      <w:suppressLineNumbers/>
      <w:suppressAutoHyphens w:val="true"/>
    </w:pPr>
    <w:rPr/>
  </w:style>
  <w:style w:styleId="style59" w:type="paragraph">
    <w:name w:val="Contenu de tableau"/>
    <w:basedOn w:val="style0"/>
    <w:next w:val="style59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2700</TotalTime>
  <Application>LibreOffice/4.1.6.2$Windows_x86 LibreOffice_project/40ff705089295be5be0aae9b15123f687c05b0a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2016-04-29T12:31:00Z</dcterms:created>
  <dc:creator>stéphanie guyon</dc:creator>
  <cp:lastModifiedBy>benaiem</cp:lastModifiedBy>
  <dcterms:modified xsi:type="dcterms:W3CDTF">2016-06-30T15:09:00Z</dcterms:modified>
  <cp:revision>7</cp:revision>
</cp:coreProperties>
</file>