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904A3" w14:textId="75F38C12" w:rsidR="004C2EF1" w:rsidRPr="00A91C72" w:rsidRDefault="004C2EF1" w:rsidP="004C2EF1">
      <w:pPr>
        <w:spacing w:after="0" w:line="240" w:lineRule="auto"/>
        <w:jc w:val="center"/>
        <w:rPr>
          <w:rFonts w:ascii="Arial" w:hAnsi="Arial" w:cs="Arial"/>
          <w:b/>
          <w:sz w:val="24"/>
          <w:szCs w:val="24"/>
        </w:rPr>
      </w:pPr>
    </w:p>
    <w:p w14:paraId="1B518AD9" w14:textId="23169A0C" w:rsidR="004C2EF1" w:rsidRPr="00A91C72" w:rsidRDefault="004C2EF1" w:rsidP="004C2EF1">
      <w:pPr>
        <w:spacing w:after="0" w:line="240" w:lineRule="auto"/>
        <w:jc w:val="center"/>
        <w:rPr>
          <w:rFonts w:ascii="Arial" w:hAnsi="Arial" w:cs="Arial"/>
          <w:b/>
          <w:sz w:val="24"/>
          <w:szCs w:val="24"/>
        </w:rPr>
      </w:pPr>
      <w:r w:rsidRPr="00A91C72">
        <w:rPr>
          <w:rFonts w:ascii="Arial" w:hAnsi="Arial" w:cs="Arial"/>
          <w:b/>
          <w:sz w:val="24"/>
          <w:szCs w:val="24"/>
        </w:rPr>
        <w:t>Baccalauréat STMG</w:t>
      </w:r>
    </w:p>
    <w:p w14:paraId="35208BC3" w14:textId="77777777" w:rsidR="004C2EF1" w:rsidRPr="00A91C72" w:rsidRDefault="004C2EF1" w:rsidP="004C2EF1">
      <w:pPr>
        <w:spacing w:after="0" w:line="240" w:lineRule="auto"/>
        <w:jc w:val="center"/>
        <w:rPr>
          <w:rFonts w:ascii="Arial" w:hAnsi="Arial" w:cs="Arial"/>
          <w:b/>
          <w:sz w:val="24"/>
          <w:szCs w:val="24"/>
        </w:rPr>
      </w:pPr>
    </w:p>
    <w:p w14:paraId="6939E03C" w14:textId="3C9E83AB" w:rsidR="004C2EF1" w:rsidRPr="00A91C72" w:rsidRDefault="004C2EF1" w:rsidP="004C2EF1">
      <w:pPr>
        <w:spacing w:after="0" w:line="240" w:lineRule="auto"/>
        <w:jc w:val="center"/>
        <w:rPr>
          <w:rFonts w:ascii="Arial" w:hAnsi="Arial" w:cs="Arial"/>
          <w:b/>
          <w:sz w:val="24"/>
          <w:szCs w:val="24"/>
        </w:rPr>
      </w:pPr>
      <w:r w:rsidRPr="00A91C72">
        <w:rPr>
          <w:rFonts w:ascii="Arial" w:hAnsi="Arial" w:cs="Arial"/>
          <w:b/>
          <w:sz w:val="24"/>
          <w:szCs w:val="24"/>
        </w:rPr>
        <w:t>Session 2021</w:t>
      </w:r>
    </w:p>
    <w:p w14:paraId="282E0A12" w14:textId="09450AF1" w:rsidR="004C2EF1" w:rsidRPr="00A91C72" w:rsidRDefault="004C2EF1" w:rsidP="004C2EF1">
      <w:pPr>
        <w:spacing w:after="0" w:line="240" w:lineRule="auto"/>
        <w:jc w:val="center"/>
        <w:rPr>
          <w:rFonts w:ascii="Arial" w:hAnsi="Arial" w:cs="Arial"/>
          <w:b/>
          <w:sz w:val="24"/>
          <w:szCs w:val="24"/>
        </w:rPr>
      </w:pPr>
    </w:p>
    <w:p w14:paraId="62AEBDA8" w14:textId="77777777" w:rsidR="00A91C72" w:rsidRPr="00A91C72" w:rsidRDefault="00A91C72" w:rsidP="004C2EF1">
      <w:pPr>
        <w:spacing w:after="0" w:line="240" w:lineRule="auto"/>
        <w:jc w:val="center"/>
        <w:rPr>
          <w:rFonts w:ascii="Arial" w:hAnsi="Arial" w:cs="Arial"/>
          <w:b/>
          <w:sz w:val="24"/>
          <w:szCs w:val="24"/>
        </w:rPr>
      </w:pPr>
    </w:p>
    <w:p w14:paraId="64AEB976" w14:textId="77777777" w:rsidR="00A91C72" w:rsidRPr="00A91C72" w:rsidRDefault="00A91C72" w:rsidP="00A91C7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55764835" w14:textId="77777777" w:rsidR="00A91C72" w:rsidRPr="00A91C72" w:rsidRDefault="00A91C72" w:rsidP="00A91C7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A91C72">
        <w:rPr>
          <w:rFonts w:ascii="Arial" w:hAnsi="Arial" w:cs="Arial"/>
          <w:b/>
          <w:sz w:val="24"/>
          <w:szCs w:val="24"/>
        </w:rPr>
        <w:t xml:space="preserve">Proposition de </w:t>
      </w:r>
      <w:r w:rsidRPr="00A91C72">
        <w:rPr>
          <w:rFonts w:ascii="Arial" w:hAnsi="Arial" w:cs="Arial"/>
          <w:b/>
          <w:sz w:val="24"/>
          <w:szCs w:val="24"/>
        </w:rPr>
        <w:t>corrigé</w:t>
      </w:r>
    </w:p>
    <w:p w14:paraId="30DA2272" w14:textId="77777777" w:rsidR="00A91C72" w:rsidRPr="00A91C72" w:rsidRDefault="00A91C72" w:rsidP="00A91C7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3B1FFE94" w14:textId="5B1F8143" w:rsidR="00A91C72" w:rsidRPr="00A91C72" w:rsidRDefault="00A91C72" w:rsidP="00A91C7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A91C72">
        <w:rPr>
          <w:rFonts w:ascii="Arial" w:hAnsi="Arial" w:cs="Arial"/>
          <w:b/>
          <w:sz w:val="24"/>
          <w:szCs w:val="24"/>
        </w:rPr>
        <w:t>S</w:t>
      </w:r>
      <w:r w:rsidRPr="00A91C72">
        <w:rPr>
          <w:rFonts w:ascii="Arial" w:hAnsi="Arial" w:cs="Arial"/>
          <w:b/>
          <w:sz w:val="24"/>
          <w:szCs w:val="24"/>
        </w:rPr>
        <w:t>ujet zéro d’économie</w:t>
      </w:r>
      <w:r w:rsidRPr="00A91C72">
        <w:rPr>
          <w:rFonts w:ascii="Arial" w:hAnsi="Arial" w:cs="Arial"/>
          <w:b/>
          <w:sz w:val="24"/>
          <w:szCs w:val="24"/>
        </w:rPr>
        <w:t xml:space="preserve"> sur la concurrence</w:t>
      </w:r>
    </w:p>
    <w:p w14:paraId="3B684907" w14:textId="77777777" w:rsidR="00A91C72" w:rsidRDefault="00A91C72" w:rsidP="00A91C7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p>
    <w:p w14:paraId="38C16E15" w14:textId="6FA8EDBF" w:rsidR="004C2EF1" w:rsidRDefault="004C2EF1" w:rsidP="004C2EF1">
      <w:pPr>
        <w:spacing w:after="0" w:line="240" w:lineRule="auto"/>
        <w:jc w:val="center"/>
        <w:rPr>
          <w:rFonts w:ascii="Arial" w:hAnsi="Arial" w:cs="Arial"/>
          <w:sz w:val="24"/>
          <w:szCs w:val="24"/>
        </w:rPr>
      </w:pPr>
    </w:p>
    <w:p w14:paraId="3EB5BB96" w14:textId="5CEA456E" w:rsidR="004C2EF1" w:rsidRDefault="004C2EF1" w:rsidP="004C2EF1">
      <w:pPr>
        <w:spacing w:after="0" w:line="240" w:lineRule="auto"/>
        <w:jc w:val="center"/>
        <w:rPr>
          <w:rFonts w:ascii="Arial" w:hAnsi="Arial" w:cs="Arial"/>
          <w:sz w:val="24"/>
          <w:szCs w:val="24"/>
        </w:rPr>
      </w:pPr>
    </w:p>
    <w:p w14:paraId="3953F876" w14:textId="2162EA9B" w:rsidR="00B2164C" w:rsidRPr="00034F73" w:rsidRDefault="007E29DF" w:rsidP="00C83C1A">
      <w:pPr>
        <w:spacing w:after="0" w:line="240" w:lineRule="auto"/>
        <w:jc w:val="both"/>
        <w:rPr>
          <w:rFonts w:ascii="Arial" w:hAnsi="Arial" w:cs="Arial"/>
          <w:b/>
          <w:sz w:val="24"/>
          <w:szCs w:val="24"/>
          <w:u w:val="single"/>
        </w:rPr>
      </w:pPr>
      <w:r w:rsidRPr="00034F73">
        <w:rPr>
          <w:rFonts w:ascii="Arial" w:hAnsi="Arial" w:cs="Arial"/>
          <w:b/>
          <w:sz w:val="24"/>
          <w:szCs w:val="24"/>
          <w:u w:val="single"/>
        </w:rPr>
        <w:t>É</w:t>
      </w:r>
      <w:r w:rsidR="00B2164C" w:rsidRPr="00034F73">
        <w:rPr>
          <w:rFonts w:ascii="Arial" w:hAnsi="Arial" w:cs="Arial"/>
          <w:b/>
          <w:sz w:val="24"/>
          <w:szCs w:val="24"/>
          <w:u w:val="single"/>
        </w:rPr>
        <w:t>CONOMIE</w:t>
      </w:r>
      <w:r w:rsidR="00034F73" w:rsidRPr="00034F73">
        <w:rPr>
          <w:rFonts w:ascii="Arial" w:hAnsi="Arial" w:cs="Arial"/>
          <w:b/>
          <w:sz w:val="24"/>
          <w:szCs w:val="24"/>
        </w:rPr>
        <w:t xml:space="preserve"> (10 points)</w:t>
      </w:r>
    </w:p>
    <w:p w14:paraId="37C09FCD" w14:textId="77777777" w:rsidR="00C83C1A" w:rsidRDefault="00C83C1A" w:rsidP="00C83C1A">
      <w:pPr>
        <w:spacing w:after="0" w:line="240" w:lineRule="auto"/>
        <w:jc w:val="both"/>
        <w:rPr>
          <w:rFonts w:ascii="Arial" w:hAnsi="Arial" w:cs="Arial"/>
          <w:sz w:val="24"/>
          <w:szCs w:val="24"/>
        </w:rPr>
      </w:pPr>
    </w:p>
    <w:p w14:paraId="656F885A" w14:textId="73BF4CEB" w:rsidR="002858DD" w:rsidRPr="00034F73" w:rsidRDefault="007E29DF" w:rsidP="00C83C1A">
      <w:pPr>
        <w:spacing w:after="0" w:line="240" w:lineRule="auto"/>
        <w:jc w:val="both"/>
        <w:rPr>
          <w:rFonts w:ascii="Arial" w:hAnsi="Arial" w:cs="Arial"/>
          <w:b/>
          <w:sz w:val="24"/>
          <w:szCs w:val="24"/>
        </w:rPr>
      </w:pPr>
      <w:r w:rsidRPr="00034F73">
        <w:rPr>
          <w:rFonts w:ascii="Arial" w:hAnsi="Arial" w:cs="Arial"/>
          <w:b/>
          <w:sz w:val="24"/>
          <w:szCs w:val="24"/>
        </w:rPr>
        <w:t>À</w:t>
      </w:r>
      <w:r w:rsidR="00F7273F" w:rsidRPr="00034F73">
        <w:rPr>
          <w:rFonts w:ascii="Arial" w:hAnsi="Arial" w:cs="Arial"/>
          <w:b/>
          <w:sz w:val="24"/>
          <w:szCs w:val="24"/>
        </w:rPr>
        <w:t xml:space="preserve"> partir de vos connaissances et des annexes, répondez aux questions suivantes : </w:t>
      </w:r>
    </w:p>
    <w:p w14:paraId="0CF6BE39" w14:textId="77777777" w:rsidR="00C83C1A" w:rsidRPr="00F7273F" w:rsidRDefault="00C83C1A" w:rsidP="00C83C1A">
      <w:pPr>
        <w:spacing w:after="0" w:line="240" w:lineRule="auto"/>
        <w:jc w:val="both"/>
        <w:rPr>
          <w:rFonts w:ascii="Arial" w:hAnsi="Arial" w:cs="Arial"/>
          <w:sz w:val="24"/>
          <w:szCs w:val="24"/>
        </w:rPr>
      </w:pPr>
    </w:p>
    <w:p w14:paraId="56BDD393" w14:textId="3A385CF8" w:rsidR="00C102CD" w:rsidRPr="00C102CD" w:rsidRDefault="00C102CD" w:rsidP="00C102CD">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Formulez le calcul de l’indice qui permet de mesurer le degré de concentration du marché des montres connectées.</w:t>
      </w:r>
    </w:p>
    <w:p w14:paraId="4DBD472B" w14:textId="77777777" w:rsidR="008E6463" w:rsidRDefault="008E6463" w:rsidP="00C102CD">
      <w:pPr>
        <w:pStyle w:val="Paragraphedeliste"/>
        <w:spacing w:after="0" w:line="240" w:lineRule="auto"/>
        <w:jc w:val="both"/>
        <w:rPr>
          <w:rFonts w:ascii="Arial" w:hAnsi="Arial" w:cs="Arial"/>
          <w:sz w:val="24"/>
          <w:szCs w:val="24"/>
        </w:rPr>
      </w:pPr>
    </w:p>
    <w:p w14:paraId="2BB7BD39" w14:textId="224CDD56" w:rsidR="007E29DF" w:rsidRDefault="00FA7DFB" w:rsidP="00C83C1A">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C</w:t>
      </w:r>
      <w:r w:rsidR="007E29DF">
        <w:rPr>
          <w:rFonts w:ascii="Arial" w:hAnsi="Arial" w:cs="Arial"/>
          <w:sz w:val="24"/>
          <w:szCs w:val="24"/>
        </w:rPr>
        <w:t>aractérisez</w:t>
      </w:r>
      <w:r w:rsidR="00F7273F" w:rsidRPr="00F7273F">
        <w:rPr>
          <w:rFonts w:ascii="Arial" w:hAnsi="Arial" w:cs="Arial"/>
          <w:sz w:val="24"/>
          <w:szCs w:val="24"/>
        </w:rPr>
        <w:t xml:space="preserve"> la structure d</w:t>
      </w:r>
      <w:r w:rsidR="009C1313">
        <w:rPr>
          <w:rFonts w:ascii="Arial" w:hAnsi="Arial" w:cs="Arial"/>
          <w:sz w:val="24"/>
          <w:szCs w:val="24"/>
        </w:rPr>
        <w:t>u</w:t>
      </w:r>
      <w:r w:rsidR="00F7273F" w:rsidRPr="00F7273F">
        <w:rPr>
          <w:rFonts w:ascii="Arial" w:hAnsi="Arial" w:cs="Arial"/>
          <w:sz w:val="24"/>
          <w:szCs w:val="24"/>
        </w:rPr>
        <w:t xml:space="preserve"> marché</w:t>
      </w:r>
      <w:r w:rsidR="00D022DD">
        <w:rPr>
          <w:rFonts w:ascii="Arial" w:hAnsi="Arial" w:cs="Arial"/>
          <w:sz w:val="24"/>
          <w:szCs w:val="24"/>
        </w:rPr>
        <w:t xml:space="preserve"> des montres connectées</w:t>
      </w:r>
      <w:r w:rsidR="00F7273F" w:rsidRPr="00F7273F">
        <w:rPr>
          <w:rFonts w:ascii="Arial" w:hAnsi="Arial" w:cs="Arial"/>
          <w:sz w:val="24"/>
          <w:szCs w:val="24"/>
        </w:rPr>
        <w:t xml:space="preserve">. </w:t>
      </w:r>
    </w:p>
    <w:p w14:paraId="00598F26" w14:textId="77777777" w:rsidR="007E29DF" w:rsidRPr="007E29DF" w:rsidRDefault="007E29DF" w:rsidP="00C83C1A">
      <w:pPr>
        <w:pStyle w:val="Paragraphedeliste"/>
        <w:spacing w:after="0" w:line="240" w:lineRule="auto"/>
        <w:jc w:val="both"/>
        <w:rPr>
          <w:rFonts w:ascii="Arial" w:hAnsi="Arial" w:cs="Arial"/>
          <w:sz w:val="24"/>
          <w:szCs w:val="24"/>
        </w:rPr>
      </w:pPr>
    </w:p>
    <w:p w14:paraId="095E3047" w14:textId="23C8C106" w:rsidR="00951F3A" w:rsidRDefault="00234BB4" w:rsidP="00C83C1A">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P</w:t>
      </w:r>
      <w:r w:rsidR="007E29DF">
        <w:rPr>
          <w:rFonts w:ascii="Arial" w:hAnsi="Arial" w:cs="Arial"/>
          <w:sz w:val="24"/>
          <w:szCs w:val="24"/>
        </w:rPr>
        <w:t>résentez</w:t>
      </w:r>
      <w:r>
        <w:rPr>
          <w:rFonts w:ascii="Arial" w:hAnsi="Arial" w:cs="Arial"/>
          <w:sz w:val="24"/>
          <w:szCs w:val="24"/>
        </w:rPr>
        <w:t xml:space="preserve"> les stratégies mises en œuvre par les entreprises pour diminuer l’intensité concurrentielle. </w:t>
      </w:r>
    </w:p>
    <w:p w14:paraId="7D6ED427" w14:textId="6BA125DB" w:rsidR="00FA7DFB" w:rsidRDefault="00FA7DFB" w:rsidP="00C102CD">
      <w:pPr>
        <w:pStyle w:val="Paragraphedeliste"/>
        <w:spacing w:after="0" w:line="240" w:lineRule="auto"/>
        <w:jc w:val="both"/>
        <w:rPr>
          <w:rFonts w:ascii="Arial" w:hAnsi="Arial" w:cs="Arial"/>
          <w:sz w:val="24"/>
          <w:szCs w:val="24"/>
        </w:rPr>
      </w:pPr>
    </w:p>
    <w:p w14:paraId="2C1DE63B" w14:textId="0993D1EE" w:rsidR="007E29DF" w:rsidRPr="00C102CD" w:rsidRDefault="007E29DF" w:rsidP="00C102CD">
      <w:pPr>
        <w:pStyle w:val="Paragraphedeliste"/>
        <w:numPr>
          <w:ilvl w:val="0"/>
          <w:numId w:val="1"/>
        </w:numPr>
        <w:spacing w:after="0" w:line="240" w:lineRule="auto"/>
        <w:jc w:val="both"/>
        <w:rPr>
          <w:rFonts w:ascii="Arial" w:hAnsi="Arial" w:cs="Arial"/>
          <w:sz w:val="24"/>
          <w:szCs w:val="24"/>
        </w:rPr>
      </w:pPr>
      <w:r w:rsidRPr="00C102CD">
        <w:rPr>
          <w:rFonts w:ascii="Arial" w:hAnsi="Arial" w:cs="Arial"/>
          <w:sz w:val="24"/>
          <w:szCs w:val="24"/>
        </w:rPr>
        <w:t>Rédigez</w:t>
      </w:r>
      <w:r w:rsidR="00993194" w:rsidRPr="00C102CD">
        <w:rPr>
          <w:rFonts w:ascii="Arial" w:hAnsi="Arial" w:cs="Arial"/>
          <w:sz w:val="24"/>
          <w:szCs w:val="24"/>
        </w:rPr>
        <w:t xml:space="preserve"> une argumentation qui vous permette de répondre à la question suivante : </w:t>
      </w:r>
    </w:p>
    <w:p w14:paraId="12161DDC" w14:textId="77777777" w:rsidR="007E29DF" w:rsidRPr="007E29DF" w:rsidRDefault="007E29DF" w:rsidP="00C83C1A">
      <w:pPr>
        <w:pStyle w:val="Paragraphedeliste"/>
        <w:spacing w:after="0" w:line="240" w:lineRule="auto"/>
        <w:jc w:val="both"/>
        <w:rPr>
          <w:rFonts w:ascii="Arial" w:hAnsi="Arial" w:cs="Arial"/>
          <w:sz w:val="24"/>
          <w:szCs w:val="24"/>
        </w:rPr>
      </w:pPr>
    </w:p>
    <w:p w14:paraId="57334666" w14:textId="77777777" w:rsidR="00F80602" w:rsidRPr="00034F73" w:rsidRDefault="00F80602" w:rsidP="00C102CD">
      <w:pPr>
        <w:pStyle w:val="Paragraphedeliste"/>
        <w:tabs>
          <w:tab w:val="left" w:pos="9072"/>
        </w:tabs>
        <w:spacing w:after="0" w:line="240" w:lineRule="auto"/>
        <w:ind w:left="709"/>
        <w:jc w:val="center"/>
        <w:rPr>
          <w:rFonts w:ascii="Arial" w:hAnsi="Arial" w:cs="Arial"/>
          <w:b/>
          <w:sz w:val="24"/>
          <w:szCs w:val="24"/>
        </w:rPr>
      </w:pPr>
      <w:r w:rsidRPr="00034F73">
        <w:rPr>
          <w:rFonts w:ascii="Arial" w:hAnsi="Arial" w:cs="Arial"/>
          <w:b/>
          <w:sz w:val="24"/>
          <w:szCs w:val="24"/>
        </w:rPr>
        <w:t>La concurrence permet-elle d’améliorer la satisfaction du consommateur ?</w:t>
      </w:r>
    </w:p>
    <w:p w14:paraId="20BA9938" w14:textId="77777777" w:rsidR="00034F73" w:rsidRPr="00034F73" w:rsidRDefault="00034F73" w:rsidP="00C83C1A">
      <w:pPr>
        <w:spacing w:after="0" w:line="240" w:lineRule="auto"/>
        <w:rPr>
          <w:rFonts w:ascii="Arial" w:hAnsi="Arial" w:cs="Arial"/>
          <w:bCs/>
          <w:sz w:val="24"/>
          <w:szCs w:val="24"/>
        </w:rPr>
      </w:pPr>
    </w:p>
    <w:p w14:paraId="1CBEB4E9" w14:textId="7BAB365F" w:rsidR="00034F73" w:rsidRDefault="00034F73" w:rsidP="00034F73">
      <w:pPr>
        <w:spacing w:after="0" w:line="240" w:lineRule="auto"/>
        <w:jc w:val="both"/>
        <w:rPr>
          <w:rFonts w:ascii="Arial" w:hAnsi="Arial" w:cs="Arial"/>
          <w:b/>
          <w:bCs/>
          <w:sz w:val="24"/>
          <w:szCs w:val="24"/>
          <w:u w:val="single"/>
        </w:rPr>
      </w:pPr>
      <w:r w:rsidRPr="00034F73">
        <w:rPr>
          <w:rFonts w:ascii="Arial" w:hAnsi="Arial" w:cs="Arial"/>
          <w:b/>
          <w:bCs/>
          <w:sz w:val="24"/>
          <w:szCs w:val="24"/>
          <w:u w:val="single"/>
        </w:rPr>
        <w:t>Annexes :</w:t>
      </w:r>
    </w:p>
    <w:p w14:paraId="7251D085" w14:textId="77777777" w:rsidR="00034F73" w:rsidRPr="00034F73" w:rsidRDefault="00034F73" w:rsidP="00034F73">
      <w:pPr>
        <w:spacing w:after="0" w:line="240" w:lineRule="auto"/>
        <w:jc w:val="both"/>
        <w:rPr>
          <w:rFonts w:ascii="Arial" w:hAnsi="Arial" w:cs="Arial"/>
          <w:bCs/>
          <w:sz w:val="24"/>
          <w:szCs w:val="24"/>
        </w:rPr>
      </w:pPr>
    </w:p>
    <w:p w14:paraId="5B2EFD2C" w14:textId="77654AFD" w:rsidR="00034F73" w:rsidRPr="00034F73" w:rsidRDefault="00034F73" w:rsidP="00034F73">
      <w:pPr>
        <w:numPr>
          <w:ilvl w:val="0"/>
          <w:numId w:val="7"/>
        </w:numPr>
        <w:spacing w:after="0" w:line="240" w:lineRule="auto"/>
        <w:jc w:val="both"/>
        <w:rPr>
          <w:rFonts w:ascii="Arial" w:hAnsi="Arial" w:cs="Arial"/>
          <w:bCs/>
          <w:sz w:val="24"/>
          <w:szCs w:val="24"/>
        </w:rPr>
      </w:pPr>
      <w:r w:rsidRPr="00034F73">
        <w:rPr>
          <w:rFonts w:ascii="Arial" w:hAnsi="Arial" w:cs="Arial"/>
          <w:bCs/>
          <w:sz w:val="24"/>
          <w:szCs w:val="24"/>
          <w:u w:val="single"/>
        </w:rPr>
        <w:t>Annexe 1</w:t>
      </w:r>
      <w:r w:rsidRPr="00034F73">
        <w:rPr>
          <w:rFonts w:ascii="Arial" w:hAnsi="Arial" w:cs="Arial"/>
          <w:bCs/>
          <w:sz w:val="24"/>
          <w:szCs w:val="24"/>
        </w:rPr>
        <w:t> : Parts de marché des expéditions mondiales de montres connectées par marque (en pourcentage).</w:t>
      </w:r>
    </w:p>
    <w:p w14:paraId="34B37978" w14:textId="77777777" w:rsidR="00034F73" w:rsidRPr="00034F73" w:rsidRDefault="00034F73" w:rsidP="00034F73">
      <w:pPr>
        <w:spacing w:after="0" w:line="240" w:lineRule="auto"/>
        <w:jc w:val="both"/>
        <w:rPr>
          <w:rFonts w:ascii="Arial" w:hAnsi="Arial" w:cs="Arial"/>
          <w:bCs/>
          <w:sz w:val="24"/>
          <w:szCs w:val="24"/>
        </w:rPr>
      </w:pPr>
    </w:p>
    <w:p w14:paraId="6447CD6E" w14:textId="3E4AE87E" w:rsidR="00034F73" w:rsidRPr="00034F73" w:rsidRDefault="00034F73" w:rsidP="00034F73">
      <w:pPr>
        <w:numPr>
          <w:ilvl w:val="0"/>
          <w:numId w:val="7"/>
        </w:numPr>
        <w:spacing w:after="0" w:line="240" w:lineRule="auto"/>
        <w:jc w:val="both"/>
        <w:rPr>
          <w:rFonts w:ascii="Arial" w:hAnsi="Arial" w:cs="Arial"/>
          <w:bCs/>
          <w:sz w:val="24"/>
          <w:szCs w:val="24"/>
        </w:rPr>
      </w:pPr>
      <w:r w:rsidRPr="00034F73">
        <w:rPr>
          <w:rFonts w:ascii="Arial" w:hAnsi="Arial" w:cs="Arial"/>
          <w:bCs/>
          <w:sz w:val="24"/>
          <w:szCs w:val="24"/>
          <w:u w:val="single"/>
        </w:rPr>
        <w:t>Annexe 2</w:t>
      </w:r>
      <w:r w:rsidRPr="00034F73">
        <w:rPr>
          <w:rFonts w:ascii="Arial" w:hAnsi="Arial" w:cs="Arial"/>
          <w:bCs/>
          <w:sz w:val="24"/>
          <w:szCs w:val="24"/>
        </w:rPr>
        <w:t> : L’indice de concentration d’un marché – indice IHH Herfindahl-Hirschmann.</w:t>
      </w:r>
    </w:p>
    <w:p w14:paraId="31A0D0D3" w14:textId="77777777" w:rsidR="00034F73" w:rsidRPr="00034F73" w:rsidRDefault="00034F73" w:rsidP="00034F73">
      <w:pPr>
        <w:spacing w:after="0" w:line="240" w:lineRule="auto"/>
        <w:jc w:val="both"/>
        <w:rPr>
          <w:rFonts w:ascii="Arial" w:hAnsi="Arial" w:cs="Arial"/>
          <w:bCs/>
          <w:sz w:val="24"/>
          <w:szCs w:val="24"/>
        </w:rPr>
      </w:pPr>
    </w:p>
    <w:p w14:paraId="0177FCA8" w14:textId="3DFF8C50" w:rsidR="00034F73" w:rsidRPr="00034F73" w:rsidRDefault="00034F73" w:rsidP="00A727F0">
      <w:pPr>
        <w:numPr>
          <w:ilvl w:val="0"/>
          <w:numId w:val="7"/>
        </w:numPr>
        <w:spacing w:after="0" w:line="240" w:lineRule="auto"/>
        <w:jc w:val="both"/>
        <w:rPr>
          <w:rFonts w:ascii="Arial" w:hAnsi="Arial" w:cs="Arial"/>
          <w:bCs/>
          <w:sz w:val="24"/>
          <w:szCs w:val="24"/>
        </w:rPr>
      </w:pPr>
      <w:r w:rsidRPr="00034F73">
        <w:rPr>
          <w:rFonts w:ascii="Arial" w:hAnsi="Arial" w:cs="Arial"/>
          <w:bCs/>
          <w:sz w:val="24"/>
          <w:szCs w:val="24"/>
          <w:u w:val="single"/>
        </w:rPr>
        <w:t>Annexe 3</w:t>
      </w:r>
      <w:r w:rsidRPr="00034F73">
        <w:rPr>
          <w:rFonts w:ascii="Arial" w:hAnsi="Arial" w:cs="Arial"/>
          <w:bCs/>
          <w:sz w:val="24"/>
          <w:szCs w:val="24"/>
        </w:rPr>
        <w:t xml:space="preserve"> : </w:t>
      </w:r>
      <w:r w:rsidR="00A727F0" w:rsidRPr="00A727F0">
        <w:rPr>
          <w:rFonts w:ascii="Arial" w:hAnsi="Arial" w:cs="Arial"/>
          <w:bCs/>
          <w:sz w:val="24"/>
          <w:szCs w:val="24"/>
        </w:rPr>
        <w:t>Concurrence et innovation.</w:t>
      </w:r>
    </w:p>
    <w:p w14:paraId="73246FE0" w14:textId="77777777" w:rsidR="00034F73" w:rsidRPr="00034F73" w:rsidRDefault="00034F73" w:rsidP="00034F73">
      <w:pPr>
        <w:spacing w:after="0" w:line="240" w:lineRule="auto"/>
        <w:jc w:val="both"/>
        <w:rPr>
          <w:rFonts w:ascii="Arial" w:hAnsi="Arial" w:cs="Arial"/>
          <w:bCs/>
          <w:sz w:val="24"/>
          <w:szCs w:val="24"/>
        </w:rPr>
      </w:pPr>
    </w:p>
    <w:p w14:paraId="57E4E314" w14:textId="11EAA387" w:rsidR="00034F73" w:rsidRDefault="00034F73" w:rsidP="00A727F0">
      <w:pPr>
        <w:numPr>
          <w:ilvl w:val="0"/>
          <w:numId w:val="7"/>
        </w:numPr>
        <w:spacing w:after="0" w:line="240" w:lineRule="auto"/>
        <w:jc w:val="both"/>
        <w:rPr>
          <w:rFonts w:ascii="Arial" w:hAnsi="Arial" w:cs="Arial"/>
          <w:bCs/>
          <w:sz w:val="24"/>
          <w:szCs w:val="24"/>
        </w:rPr>
      </w:pPr>
      <w:r w:rsidRPr="00034F73">
        <w:rPr>
          <w:rFonts w:ascii="Arial" w:hAnsi="Arial" w:cs="Arial"/>
          <w:bCs/>
          <w:sz w:val="24"/>
          <w:szCs w:val="24"/>
          <w:u w:val="single"/>
        </w:rPr>
        <w:t>Annexe 4</w:t>
      </w:r>
      <w:r w:rsidRPr="00034F73">
        <w:rPr>
          <w:rFonts w:ascii="Arial" w:hAnsi="Arial" w:cs="Arial"/>
          <w:bCs/>
          <w:sz w:val="24"/>
          <w:szCs w:val="24"/>
        </w:rPr>
        <w:t xml:space="preserve"> : </w:t>
      </w:r>
      <w:r w:rsidR="00A727F0" w:rsidRPr="00A727F0">
        <w:rPr>
          <w:rFonts w:ascii="Arial" w:hAnsi="Arial" w:cs="Arial"/>
          <w:bCs/>
          <w:sz w:val="24"/>
          <w:szCs w:val="24"/>
        </w:rPr>
        <w:t>La dynamique des monopoles.</w:t>
      </w:r>
    </w:p>
    <w:p w14:paraId="40F97CA1" w14:textId="77777777" w:rsidR="00A727F0" w:rsidRDefault="00A727F0" w:rsidP="00A727F0">
      <w:pPr>
        <w:pStyle w:val="Paragraphedeliste"/>
        <w:spacing w:after="0" w:line="240" w:lineRule="auto"/>
        <w:rPr>
          <w:rFonts w:ascii="Arial" w:hAnsi="Arial" w:cs="Arial"/>
          <w:bCs/>
          <w:sz w:val="24"/>
          <w:szCs w:val="24"/>
        </w:rPr>
      </w:pPr>
    </w:p>
    <w:p w14:paraId="71901EC6" w14:textId="1ECE8B8B" w:rsidR="00A727F0" w:rsidRDefault="00A727F0" w:rsidP="00A727F0">
      <w:pPr>
        <w:numPr>
          <w:ilvl w:val="0"/>
          <w:numId w:val="7"/>
        </w:numPr>
        <w:spacing w:after="0" w:line="240" w:lineRule="auto"/>
        <w:jc w:val="both"/>
        <w:rPr>
          <w:rFonts w:ascii="Arial" w:hAnsi="Arial" w:cs="Arial"/>
          <w:bCs/>
          <w:sz w:val="24"/>
          <w:szCs w:val="24"/>
        </w:rPr>
      </w:pPr>
      <w:r>
        <w:rPr>
          <w:rFonts w:ascii="Arial" w:hAnsi="Arial" w:cs="Arial"/>
          <w:bCs/>
          <w:sz w:val="24"/>
          <w:szCs w:val="24"/>
          <w:u w:val="single"/>
        </w:rPr>
        <w:t>Annexe 5</w:t>
      </w:r>
      <w:r w:rsidRPr="00A727F0">
        <w:rPr>
          <w:rFonts w:ascii="Arial" w:hAnsi="Arial" w:cs="Arial"/>
          <w:bCs/>
          <w:sz w:val="24"/>
          <w:szCs w:val="24"/>
        </w:rPr>
        <w:t> </w:t>
      </w:r>
      <w:r>
        <w:rPr>
          <w:rFonts w:ascii="Arial" w:hAnsi="Arial" w:cs="Arial"/>
          <w:bCs/>
          <w:sz w:val="24"/>
          <w:szCs w:val="24"/>
        </w:rPr>
        <w:t xml:space="preserve">: </w:t>
      </w:r>
      <w:r w:rsidRPr="00A727F0">
        <w:rPr>
          <w:rFonts w:ascii="Arial" w:hAnsi="Arial" w:cs="Arial"/>
          <w:bCs/>
          <w:sz w:val="24"/>
          <w:szCs w:val="24"/>
        </w:rPr>
        <w:t>Les brevets déposés en France en 2017.</w:t>
      </w:r>
    </w:p>
    <w:p w14:paraId="54173A67" w14:textId="77777777" w:rsidR="00A727F0" w:rsidRDefault="00A727F0" w:rsidP="00A727F0">
      <w:pPr>
        <w:pStyle w:val="Paragraphedeliste"/>
        <w:spacing w:after="0" w:line="240" w:lineRule="auto"/>
        <w:rPr>
          <w:rFonts w:ascii="Arial" w:hAnsi="Arial" w:cs="Arial"/>
          <w:bCs/>
          <w:sz w:val="24"/>
          <w:szCs w:val="24"/>
        </w:rPr>
      </w:pPr>
    </w:p>
    <w:p w14:paraId="74CC138F" w14:textId="7CFDB6BB" w:rsidR="00A727F0" w:rsidRPr="00034F73" w:rsidRDefault="00A727F0" w:rsidP="00A727F0">
      <w:pPr>
        <w:numPr>
          <w:ilvl w:val="0"/>
          <w:numId w:val="7"/>
        </w:numPr>
        <w:spacing w:after="0" w:line="240" w:lineRule="auto"/>
        <w:jc w:val="both"/>
        <w:rPr>
          <w:rFonts w:ascii="Arial" w:hAnsi="Arial" w:cs="Arial"/>
          <w:bCs/>
          <w:sz w:val="24"/>
          <w:szCs w:val="24"/>
        </w:rPr>
      </w:pPr>
      <w:r>
        <w:rPr>
          <w:rFonts w:ascii="Arial" w:hAnsi="Arial" w:cs="Arial"/>
          <w:bCs/>
          <w:sz w:val="24"/>
          <w:szCs w:val="24"/>
          <w:u w:val="single"/>
        </w:rPr>
        <w:t>Annexe 6</w:t>
      </w:r>
      <w:r w:rsidRPr="00A727F0">
        <w:rPr>
          <w:rFonts w:ascii="Arial" w:hAnsi="Arial" w:cs="Arial"/>
          <w:bCs/>
          <w:sz w:val="24"/>
          <w:szCs w:val="24"/>
        </w:rPr>
        <w:t> </w:t>
      </w:r>
      <w:r>
        <w:rPr>
          <w:rFonts w:ascii="Arial" w:hAnsi="Arial" w:cs="Arial"/>
          <w:bCs/>
          <w:sz w:val="24"/>
          <w:szCs w:val="24"/>
        </w:rPr>
        <w:t xml:space="preserve">: </w:t>
      </w:r>
      <w:r w:rsidRPr="00A727F0">
        <w:rPr>
          <w:rFonts w:ascii="Arial" w:hAnsi="Arial" w:cs="Arial"/>
          <w:bCs/>
          <w:sz w:val="24"/>
          <w:szCs w:val="24"/>
        </w:rPr>
        <w:t>L’enjeu de la concurrence.</w:t>
      </w:r>
    </w:p>
    <w:p w14:paraId="316032D2" w14:textId="77777777" w:rsidR="00034F73" w:rsidRPr="00034F73" w:rsidRDefault="00034F73" w:rsidP="00A727F0">
      <w:pPr>
        <w:spacing w:after="0" w:line="240" w:lineRule="auto"/>
        <w:jc w:val="both"/>
        <w:rPr>
          <w:rFonts w:ascii="Arial" w:hAnsi="Arial" w:cs="Arial"/>
          <w:bCs/>
          <w:sz w:val="24"/>
          <w:szCs w:val="24"/>
        </w:rPr>
      </w:pPr>
    </w:p>
    <w:p w14:paraId="155BD64A" w14:textId="3194B7E9" w:rsidR="00033A39" w:rsidRDefault="00033A39" w:rsidP="00C83C1A">
      <w:pPr>
        <w:spacing w:after="0" w:line="240" w:lineRule="auto"/>
        <w:rPr>
          <w:rFonts w:ascii="Arial" w:hAnsi="Arial" w:cs="Arial"/>
          <w:b/>
          <w:bCs/>
          <w:sz w:val="24"/>
          <w:szCs w:val="24"/>
        </w:rPr>
      </w:pPr>
      <w:r>
        <w:rPr>
          <w:rFonts w:ascii="Arial" w:hAnsi="Arial" w:cs="Arial"/>
          <w:b/>
          <w:bCs/>
          <w:sz w:val="24"/>
          <w:szCs w:val="24"/>
        </w:rPr>
        <w:br w:type="page"/>
      </w:r>
    </w:p>
    <w:p w14:paraId="3050BEE1" w14:textId="12427980" w:rsidR="00FD3FEF" w:rsidRDefault="00F7273F" w:rsidP="00C83C1A">
      <w:pPr>
        <w:spacing w:after="0" w:line="240" w:lineRule="auto"/>
        <w:jc w:val="both"/>
        <w:rPr>
          <w:rFonts w:ascii="Arial" w:hAnsi="Arial" w:cs="Arial"/>
          <w:b/>
          <w:bCs/>
          <w:sz w:val="24"/>
          <w:szCs w:val="24"/>
        </w:rPr>
      </w:pPr>
      <w:r w:rsidRPr="00C656D2">
        <w:rPr>
          <w:rFonts w:ascii="Arial" w:hAnsi="Arial" w:cs="Arial"/>
          <w:b/>
          <w:bCs/>
          <w:sz w:val="24"/>
          <w:szCs w:val="24"/>
        </w:rPr>
        <w:lastRenderedPageBreak/>
        <w:t xml:space="preserve">Annexe 1 : Parts de marché des expéditions mondiales de montres connectées par marque </w:t>
      </w:r>
      <w:r w:rsidR="00303541">
        <w:rPr>
          <w:rFonts w:ascii="Arial" w:hAnsi="Arial" w:cs="Arial"/>
          <w:b/>
          <w:bCs/>
          <w:sz w:val="24"/>
          <w:szCs w:val="24"/>
        </w:rPr>
        <w:t>(en pourcentage</w:t>
      </w:r>
      <w:r w:rsidR="00FD3FEF" w:rsidRPr="00C656D2">
        <w:rPr>
          <w:rFonts w:ascii="Arial" w:hAnsi="Arial" w:cs="Arial"/>
          <w:b/>
          <w:bCs/>
          <w:sz w:val="24"/>
          <w:szCs w:val="24"/>
        </w:rPr>
        <w:t>)</w:t>
      </w:r>
      <w:r w:rsidRPr="00C656D2">
        <w:rPr>
          <w:rFonts w:ascii="Arial" w:hAnsi="Arial" w:cs="Arial"/>
          <w:b/>
          <w:bCs/>
          <w:sz w:val="24"/>
          <w:szCs w:val="24"/>
        </w:rPr>
        <w:t xml:space="preserve">. </w:t>
      </w:r>
    </w:p>
    <w:p w14:paraId="12C66A1E" w14:textId="77777777" w:rsidR="00C83C1A" w:rsidRPr="00C83C1A" w:rsidRDefault="00C83C1A" w:rsidP="00C83C1A">
      <w:pPr>
        <w:spacing w:after="0" w:line="240" w:lineRule="auto"/>
        <w:jc w:val="both"/>
        <w:rPr>
          <w:rFonts w:ascii="Arial" w:hAnsi="Arial" w:cs="Arial"/>
          <w:bCs/>
          <w:sz w:val="24"/>
          <w:szCs w:val="24"/>
        </w:rPr>
      </w:pPr>
    </w:p>
    <w:tbl>
      <w:tblPr>
        <w:tblStyle w:val="Grilledutableau"/>
        <w:tblW w:w="0" w:type="auto"/>
        <w:tblInd w:w="-5" w:type="dxa"/>
        <w:tblLayout w:type="fixed"/>
        <w:tblLook w:val="04A0" w:firstRow="1" w:lastRow="0" w:firstColumn="1" w:lastColumn="0" w:noHBand="0" w:noVBand="1"/>
      </w:tblPr>
      <w:tblGrid>
        <w:gridCol w:w="851"/>
        <w:gridCol w:w="850"/>
        <w:gridCol w:w="993"/>
        <w:gridCol w:w="708"/>
        <w:gridCol w:w="709"/>
        <w:gridCol w:w="851"/>
        <w:gridCol w:w="850"/>
        <w:gridCol w:w="709"/>
        <w:gridCol w:w="850"/>
        <w:gridCol w:w="851"/>
        <w:gridCol w:w="845"/>
      </w:tblGrid>
      <w:tr w:rsidR="00972DC1" w:rsidRPr="00A72238" w14:paraId="02F3B92C" w14:textId="40543E45" w:rsidTr="00A72238">
        <w:tc>
          <w:tcPr>
            <w:tcW w:w="851" w:type="dxa"/>
          </w:tcPr>
          <w:p w14:paraId="24B784FF" w14:textId="77777777" w:rsidR="00BD1E59" w:rsidRPr="00A72238" w:rsidRDefault="00BD1E59" w:rsidP="00C83C1A">
            <w:pPr>
              <w:jc w:val="center"/>
              <w:rPr>
                <w:rFonts w:ascii="Arial" w:hAnsi="Arial" w:cs="Arial"/>
                <w:sz w:val="18"/>
                <w:szCs w:val="18"/>
              </w:rPr>
            </w:pPr>
          </w:p>
        </w:tc>
        <w:tc>
          <w:tcPr>
            <w:tcW w:w="850" w:type="dxa"/>
          </w:tcPr>
          <w:p w14:paraId="2F75FA83"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Apple</w:t>
            </w:r>
          </w:p>
        </w:tc>
        <w:tc>
          <w:tcPr>
            <w:tcW w:w="993" w:type="dxa"/>
          </w:tcPr>
          <w:p w14:paraId="5C183F31"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Samsung</w:t>
            </w:r>
          </w:p>
        </w:tc>
        <w:tc>
          <w:tcPr>
            <w:tcW w:w="708" w:type="dxa"/>
          </w:tcPr>
          <w:p w14:paraId="293D1F35"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Imoo</w:t>
            </w:r>
          </w:p>
        </w:tc>
        <w:tc>
          <w:tcPr>
            <w:tcW w:w="709" w:type="dxa"/>
          </w:tcPr>
          <w:p w14:paraId="28E2F704"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Fitbit</w:t>
            </w:r>
          </w:p>
        </w:tc>
        <w:tc>
          <w:tcPr>
            <w:tcW w:w="851" w:type="dxa"/>
          </w:tcPr>
          <w:p w14:paraId="262B283A"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Amazfit</w:t>
            </w:r>
          </w:p>
        </w:tc>
        <w:tc>
          <w:tcPr>
            <w:tcW w:w="850" w:type="dxa"/>
          </w:tcPr>
          <w:p w14:paraId="60B2EF64" w14:textId="36BB92EF" w:rsidR="00BD1E59" w:rsidRPr="00A72238" w:rsidRDefault="00BD1E59" w:rsidP="00C83C1A">
            <w:pPr>
              <w:jc w:val="center"/>
              <w:rPr>
                <w:rFonts w:ascii="Arial" w:hAnsi="Arial" w:cs="Arial"/>
                <w:sz w:val="18"/>
                <w:szCs w:val="18"/>
              </w:rPr>
            </w:pPr>
            <w:r w:rsidRPr="00A72238">
              <w:rPr>
                <w:rFonts w:ascii="Arial" w:hAnsi="Arial" w:cs="Arial"/>
                <w:sz w:val="18"/>
                <w:szCs w:val="18"/>
              </w:rPr>
              <w:t>H</w:t>
            </w:r>
            <w:r w:rsidR="00972DC1" w:rsidRPr="00A72238">
              <w:rPr>
                <w:rFonts w:ascii="Arial" w:hAnsi="Arial" w:cs="Arial"/>
                <w:sz w:val="18"/>
                <w:szCs w:val="18"/>
              </w:rPr>
              <w:t>uawai</w:t>
            </w:r>
          </w:p>
        </w:tc>
        <w:tc>
          <w:tcPr>
            <w:tcW w:w="709" w:type="dxa"/>
          </w:tcPr>
          <w:p w14:paraId="4B96C39E"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Fossil</w:t>
            </w:r>
          </w:p>
        </w:tc>
        <w:tc>
          <w:tcPr>
            <w:tcW w:w="850" w:type="dxa"/>
          </w:tcPr>
          <w:p w14:paraId="71DB5AA3"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Garmin</w:t>
            </w:r>
          </w:p>
        </w:tc>
        <w:tc>
          <w:tcPr>
            <w:tcW w:w="851" w:type="dxa"/>
          </w:tcPr>
          <w:p w14:paraId="0731220B" w14:textId="77777777" w:rsidR="00BD1E59" w:rsidRPr="00A72238" w:rsidRDefault="00BD1E59" w:rsidP="00C83C1A">
            <w:pPr>
              <w:jc w:val="center"/>
              <w:rPr>
                <w:rFonts w:ascii="Arial" w:hAnsi="Arial" w:cs="Arial"/>
                <w:sz w:val="18"/>
                <w:szCs w:val="18"/>
              </w:rPr>
            </w:pPr>
            <w:r w:rsidRPr="00A72238">
              <w:rPr>
                <w:rFonts w:ascii="Arial" w:hAnsi="Arial" w:cs="Arial"/>
                <w:sz w:val="18"/>
                <w:szCs w:val="18"/>
              </w:rPr>
              <w:t>Autres</w:t>
            </w:r>
          </w:p>
        </w:tc>
        <w:tc>
          <w:tcPr>
            <w:tcW w:w="845" w:type="dxa"/>
          </w:tcPr>
          <w:p w14:paraId="7AE5A345" w14:textId="474AAB2E" w:rsidR="00BD1E59" w:rsidRPr="00A72238" w:rsidRDefault="00BD1E59" w:rsidP="00C83C1A">
            <w:pPr>
              <w:jc w:val="center"/>
              <w:rPr>
                <w:rFonts w:ascii="Arial" w:hAnsi="Arial" w:cs="Arial"/>
                <w:b/>
                <w:sz w:val="18"/>
                <w:szCs w:val="18"/>
              </w:rPr>
            </w:pPr>
            <w:r w:rsidRPr="00A72238">
              <w:rPr>
                <w:rFonts w:ascii="Arial" w:hAnsi="Arial" w:cs="Arial"/>
                <w:b/>
                <w:sz w:val="18"/>
                <w:szCs w:val="18"/>
              </w:rPr>
              <w:t>Indice IHH</w:t>
            </w:r>
          </w:p>
        </w:tc>
      </w:tr>
      <w:tr w:rsidR="00972DC1" w:rsidRPr="00A72238" w14:paraId="05A32C24" w14:textId="56B595D6" w:rsidTr="00A72238">
        <w:tc>
          <w:tcPr>
            <w:tcW w:w="851" w:type="dxa"/>
          </w:tcPr>
          <w:p w14:paraId="3524B204" w14:textId="77777777" w:rsidR="00BD1E59" w:rsidRPr="00A72238" w:rsidRDefault="00BD1E59" w:rsidP="00C83C1A">
            <w:pPr>
              <w:jc w:val="center"/>
              <w:rPr>
                <w:rFonts w:ascii="Arial" w:hAnsi="Arial" w:cs="Arial"/>
                <w:b/>
                <w:sz w:val="18"/>
                <w:szCs w:val="18"/>
              </w:rPr>
            </w:pPr>
            <w:r w:rsidRPr="00A72238">
              <w:rPr>
                <w:rFonts w:ascii="Arial" w:hAnsi="Arial" w:cs="Arial"/>
                <w:b/>
                <w:sz w:val="18"/>
                <w:szCs w:val="18"/>
              </w:rPr>
              <w:t>PDM*</w:t>
            </w:r>
          </w:p>
          <w:p w14:paraId="5B1370CC" w14:textId="73B9ACBD" w:rsidR="00BD1E59" w:rsidRPr="00A72238" w:rsidRDefault="00BD1E59" w:rsidP="00C83C1A">
            <w:pPr>
              <w:jc w:val="center"/>
              <w:rPr>
                <w:rFonts w:ascii="Arial" w:hAnsi="Arial" w:cs="Arial"/>
                <w:b/>
                <w:sz w:val="18"/>
                <w:szCs w:val="18"/>
              </w:rPr>
            </w:pPr>
            <w:r w:rsidRPr="00A72238">
              <w:rPr>
                <w:rFonts w:ascii="Arial" w:hAnsi="Arial" w:cs="Arial"/>
                <w:b/>
                <w:sz w:val="18"/>
                <w:szCs w:val="18"/>
              </w:rPr>
              <w:t>2018</w:t>
            </w:r>
          </w:p>
        </w:tc>
        <w:tc>
          <w:tcPr>
            <w:tcW w:w="850" w:type="dxa"/>
          </w:tcPr>
          <w:p w14:paraId="13DB3B93" w14:textId="1B3BD63B" w:rsidR="00BD1E59" w:rsidRPr="00A72238" w:rsidRDefault="00BD1E59" w:rsidP="00C83C1A">
            <w:pPr>
              <w:jc w:val="center"/>
              <w:rPr>
                <w:rFonts w:ascii="Arial" w:hAnsi="Arial" w:cs="Arial"/>
                <w:sz w:val="18"/>
                <w:szCs w:val="18"/>
              </w:rPr>
            </w:pPr>
            <w:r w:rsidRPr="00A72238">
              <w:rPr>
                <w:rFonts w:ascii="Arial" w:hAnsi="Arial" w:cs="Arial"/>
                <w:sz w:val="18"/>
                <w:szCs w:val="18"/>
              </w:rPr>
              <w:t>35</w:t>
            </w:r>
            <w:r w:rsidR="00303541">
              <w:rPr>
                <w:rFonts w:ascii="Arial" w:hAnsi="Arial" w:cs="Arial"/>
                <w:sz w:val="18"/>
                <w:szCs w:val="18"/>
              </w:rPr>
              <w:t>%</w:t>
            </w:r>
          </w:p>
        </w:tc>
        <w:tc>
          <w:tcPr>
            <w:tcW w:w="993" w:type="dxa"/>
          </w:tcPr>
          <w:p w14:paraId="5C892B60" w14:textId="619647C9" w:rsidR="00BD1E59" w:rsidRPr="00A72238" w:rsidRDefault="00BD1E59" w:rsidP="00C83C1A">
            <w:pPr>
              <w:jc w:val="center"/>
              <w:rPr>
                <w:rFonts w:ascii="Arial" w:hAnsi="Arial" w:cs="Arial"/>
                <w:sz w:val="18"/>
                <w:szCs w:val="18"/>
              </w:rPr>
            </w:pPr>
            <w:r w:rsidRPr="00A72238">
              <w:rPr>
                <w:rFonts w:ascii="Arial" w:hAnsi="Arial" w:cs="Arial"/>
                <w:sz w:val="18"/>
                <w:szCs w:val="18"/>
              </w:rPr>
              <w:t>11</w:t>
            </w:r>
            <w:r w:rsidR="00303541">
              <w:rPr>
                <w:rFonts w:ascii="Arial" w:hAnsi="Arial" w:cs="Arial"/>
                <w:sz w:val="18"/>
                <w:szCs w:val="18"/>
              </w:rPr>
              <w:t>%</w:t>
            </w:r>
          </w:p>
        </w:tc>
        <w:tc>
          <w:tcPr>
            <w:tcW w:w="708" w:type="dxa"/>
          </w:tcPr>
          <w:p w14:paraId="1551EBD4" w14:textId="5D4CC641" w:rsidR="00BD1E59" w:rsidRPr="00A72238" w:rsidRDefault="00BD1E59" w:rsidP="00C83C1A">
            <w:pPr>
              <w:jc w:val="center"/>
              <w:rPr>
                <w:rFonts w:ascii="Arial" w:hAnsi="Arial" w:cs="Arial"/>
                <w:sz w:val="18"/>
                <w:szCs w:val="18"/>
              </w:rPr>
            </w:pPr>
            <w:r w:rsidRPr="00A72238">
              <w:rPr>
                <w:rFonts w:ascii="Arial" w:hAnsi="Arial" w:cs="Arial"/>
                <w:sz w:val="18"/>
                <w:szCs w:val="18"/>
              </w:rPr>
              <w:t>9</w:t>
            </w:r>
            <w:r w:rsidR="00303541">
              <w:rPr>
                <w:rFonts w:ascii="Arial" w:hAnsi="Arial" w:cs="Arial"/>
                <w:sz w:val="18"/>
                <w:szCs w:val="18"/>
              </w:rPr>
              <w:t>%</w:t>
            </w:r>
          </w:p>
        </w:tc>
        <w:tc>
          <w:tcPr>
            <w:tcW w:w="709" w:type="dxa"/>
          </w:tcPr>
          <w:p w14:paraId="02D0D15A" w14:textId="655E9C74" w:rsidR="00BD1E59" w:rsidRPr="00A72238" w:rsidRDefault="00BD1E59" w:rsidP="00C83C1A">
            <w:pPr>
              <w:jc w:val="center"/>
              <w:rPr>
                <w:rFonts w:ascii="Arial" w:hAnsi="Arial" w:cs="Arial"/>
                <w:sz w:val="18"/>
                <w:szCs w:val="18"/>
              </w:rPr>
            </w:pPr>
            <w:r w:rsidRPr="00A72238">
              <w:rPr>
                <w:rFonts w:ascii="Arial" w:hAnsi="Arial" w:cs="Arial"/>
                <w:sz w:val="18"/>
                <w:szCs w:val="18"/>
              </w:rPr>
              <w:t>5</w:t>
            </w:r>
            <w:r w:rsidR="00303541">
              <w:rPr>
                <w:rFonts w:ascii="Arial" w:hAnsi="Arial" w:cs="Arial"/>
                <w:sz w:val="18"/>
                <w:szCs w:val="18"/>
              </w:rPr>
              <w:t>%</w:t>
            </w:r>
          </w:p>
        </w:tc>
        <w:tc>
          <w:tcPr>
            <w:tcW w:w="851" w:type="dxa"/>
          </w:tcPr>
          <w:p w14:paraId="1FFC190D" w14:textId="79A4FD1B" w:rsidR="00BD1E59" w:rsidRPr="00A72238" w:rsidRDefault="00BD1E59" w:rsidP="00C83C1A">
            <w:pPr>
              <w:jc w:val="center"/>
              <w:rPr>
                <w:rFonts w:ascii="Arial" w:hAnsi="Arial" w:cs="Arial"/>
                <w:sz w:val="18"/>
                <w:szCs w:val="18"/>
              </w:rPr>
            </w:pPr>
            <w:r w:rsidRPr="00A72238">
              <w:rPr>
                <w:rFonts w:ascii="Arial" w:hAnsi="Arial" w:cs="Arial"/>
                <w:sz w:val="18"/>
                <w:szCs w:val="18"/>
              </w:rPr>
              <w:t>4</w:t>
            </w:r>
            <w:r w:rsidR="00303541">
              <w:rPr>
                <w:rFonts w:ascii="Arial" w:hAnsi="Arial" w:cs="Arial"/>
                <w:sz w:val="18"/>
                <w:szCs w:val="18"/>
              </w:rPr>
              <w:t>%</w:t>
            </w:r>
          </w:p>
        </w:tc>
        <w:tc>
          <w:tcPr>
            <w:tcW w:w="850" w:type="dxa"/>
          </w:tcPr>
          <w:p w14:paraId="2559D9C6" w14:textId="498EF563" w:rsidR="00BD1E59" w:rsidRPr="00A72238" w:rsidRDefault="00BD1E59" w:rsidP="00C83C1A">
            <w:pPr>
              <w:jc w:val="center"/>
              <w:rPr>
                <w:rFonts w:ascii="Arial" w:hAnsi="Arial" w:cs="Arial"/>
                <w:sz w:val="18"/>
                <w:szCs w:val="18"/>
              </w:rPr>
            </w:pPr>
            <w:r w:rsidRPr="00A72238">
              <w:rPr>
                <w:rFonts w:ascii="Arial" w:hAnsi="Arial" w:cs="Arial"/>
                <w:sz w:val="18"/>
                <w:szCs w:val="18"/>
              </w:rPr>
              <w:t>4</w:t>
            </w:r>
            <w:r w:rsidR="00303541">
              <w:rPr>
                <w:rFonts w:ascii="Arial" w:hAnsi="Arial" w:cs="Arial"/>
                <w:sz w:val="18"/>
                <w:szCs w:val="18"/>
              </w:rPr>
              <w:t>%</w:t>
            </w:r>
          </w:p>
        </w:tc>
        <w:tc>
          <w:tcPr>
            <w:tcW w:w="709" w:type="dxa"/>
          </w:tcPr>
          <w:p w14:paraId="03044771" w14:textId="1B58EDAD" w:rsidR="00BD1E59" w:rsidRPr="00A72238" w:rsidRDefault="00BD1E59" w:rsidP="00303541">
            <w:pPr>
              <w:jc w:val="center"/>
              <w:rPr>
                <w:rFonts w:ascii="Arial" w:hAnsi="Arial" w:cs="Arial"/>
                <w:sz w:val="18"/>
                <w:szCs w:val="18"/>
              </w:rPr>
            </w:pPr>
            <w:r w:rsidRPr="00A72238">
              <w:rPr>
                <w:rFonts w:ascii="Arial" w:hAnsi="Arial" w:cs="Arial"/>
                <w:sz w:val="18"/>
                <w:szCs w:val="18"/>
              </w:rPr>
              <w:t>2</w:t>
            </w:r>
            <w:r w:rsidR="00303541">
              <w:rPr>
                <w:rFonts w:ascii="Arial" w:hAnsi="Arial" w:cs="Arial"/>
                <w:sz w:val="18"/>
                <w:szCs w:val="18"/>
              </w:rPr>
              <w:t>,</w:t>
            </w:r>
            <w:r w:rsidRPr="00A72238">
              <w:rPr>
                <w:rFonts w:ascii="Arial" w:hAnsi="Arial" w:cs="Arial"/>
                <w:sz w:val="18"/>
                <w:szCs w:val="18"/>
              </w:rPr>
              <w:t>5</w:t>
            </w:r>
            <w:r w:rsidR="00303541">
              <w:rPr>
                <w:rFonts w:ascii="Arial" w:hAnsi="Arial" w:cs="Arial"/>
                <w:sz w:val="18"/>
                <w:szCs w:val="18"/>
              </w:rPr>
              <w:t>%</w:t>
            </w:r>
          </w:p>
        </w:tc>
        <w:tc>
          <w:tcPr>
            <w:tcW w:w="850" w:type="dxa"/>
          </w:tcPr>
          <w:p w14:paraId="56356A9A" w14:textId="74149444" w:rsidR="00BD1E59" w:rsidRPr="00A72238" w:rsidRDefault="00BD1E59" w:rsidP="00C83C1A">
            <w:pPr>
              <w:jc w:val="center"/>
              <w:rPr>
                <w:rFonts w:ascii="Arial" w:hAnsi="Arial" w:cs="Arial"/>
                <w:sz w:val="18"/>
                <w:szCs w:val="18"/>
              </w:rPr>
            </w:pPr>
            <w:r w:rsidRPr="00A72238">
              <w:rPr>
                <w:rFonts w:ascii="Arial" w:hAnsi="Arial" w:cs="Arial"/>
                <w:sz w:val="18"/>
                <w:szCs w:val="18"/>
              </w:rPr>
              <w:t>1</w:t>
            </w:r>
            <w:r w:rsidR="00303541">
              <w:rPr>
                <w:rFonts w:ascii="Arial" w:hAnsi="Arial" w:cs="Arial"/>
                <w:sz w:val="18"/>
                <w:szCs w:val="18"/>
              </w:rPr>
              <w:t>,</w:t>
            </w:r>
            <w:r w:rsidRPr="00A72238">
              <w:rPr>
                <w:rFonts w:ascii="Arial" w:hAnsi="Arial" w:cs="Arial"/>
                <w:sz w:val="18"/>
                <w:szCs w:val="18"/>
              </w:rPr>
              <w:t>5</w:t>
            </w:r>
            <w:r w:rsidR="00303541">
              <w:rPr>
                <w:rFonts w:ascii="Arial" w:hAnsi="Arial" w:cs="Arial"/>
                <w:sz w:val="18"/>
                <w:szCs w:val="18"/>
              </w:rPr>
              <w:t>%</w:t>
            </w:r>
          </w:p>
        </w:tc>
        <w:tc>
          <w:tcPr>
            <w:tcW w:w="851" w:type="dxa"/>
          </w:tcPr>
          <w:p w14:paraId="5A478AC2" w14:textId="5488E04D" w:rsidR="00BD1E59" w:rsidRPr="00A72238" w:rsidRDefault="00BD1E59" w:rsidP="00C83C1A">
            <w:pPr>
              <w:jc w:val="center"/>
              <w:rPr>
                <w:rFonts w:ascii="Arial" w:hAnsi="Arial" w:cs="Arial"/>
                <w:sz w:val="18"/>
                <w:szCs w:val="18"/>
              </w:rPr>
            </w:pPr>
            <w:r w:rsidRPr="00A72238">
              <w:rPr>
                <w:rFonts w:ascii="Arial" w:hAnsi="Arial" w:cs="Arial"/>
                <w:sz w:val="18"/>
                <w:szCs w:val="18"/>
              </w:rPr>
              <w:t>28</w:t>
            </w:r>
            <w:r w:rsidR="00303541">
              <w:rPr>
                <w:rFonts w:ascii="Arial" w:hAnsi="Arial" w:cs="Arial"/>
                <w:sz w:val="18"/>
                <w:szCs w:val="18"/>
              </w:rPr>
              <w:t>%</w:t>
            </w:r>
          </w:p>
        </w:tc>
        <w:tc>
          <w:tcPr>
            <w:tcW w:w="845" w:type="dxa"/>
          </w:tcPr>
          <w:p w14:paraId="0F4211AE" w14:textId="28156267" w:rsidR="00BD1E59" w:rsidRPr="00A72238" w:rsidRDefault="00BD1E59" w:rsidP="00C83C1A">
            <w:pPr>
              <w:jc w:val="center"/>
              <w:rPr>
                <w:rFonts w:ascii="Arial" w:hAnsi="Arial" w:cs="Arial"/>
                <w:sz w:val="18"/>
                <w:szCs w:val="18"/>
              </w:rPr>
            </w:pPr>
            <w:r w:rsidRPr="00A72238">
              <w:rPr>
                <w:rFonts w:ascii="Arial" w:hAnsi="Arial" w:cs="Arial"/>
                <w:sz w:val="18"/>
                <w:szCs w:val="18"/>
              </w:rPr>
              <w:t>2 276,5</w:t>
            </w:r>
          </w:p>
        </w:tc>
      </w:tr>
    </w:tbl>
    <w:p w14:paraId="5FE117A0" w14:textId="60E1CCA6" w:rsidR="00FD3FEF" w:rsidRDefault="00A72238" w:rsidP="00C83C1A">
      <w:pPr>
        <w:spacing w:after="0" w:line="240" w:lineRule="auto"/>
        <w:rPr>
          <w:rFonts w:ascii="Arial" w:hAnsi="Arial" w:cs="Arial"/>
          <w:sz w:val="20"/>
          <w:szCs w:val="20"/>
        </w:rPr>
      </w:pPr>
      <w:r w:rsidRPr="00A72238">
        <w:rPr>
          <w:rFonts w:ascii="Arial" w:hAnsi="Arial" w:cs="Arial"/>
          <w:sz w:val="20"/>
          <w:szCs w:val="20"/>
        </w:rPr>
        <w:t>*</w:t>
      </w:r>
      <w:r>
        <w:rPr>
          <w:rFonts w:ascii="Arial" w:hAnsi="Arial" w:cs="Arial"/>
          <w:sz w:val="20"/>
          <w:szCs w:val="20"/>
        </w:rPr>
        <w:t xml:space="preserve"> </w:t>
      </w:r>
      <w:r w:rsidR="00214CE1" w:rsidRPr="00A72238">
        <w:rPr>
          <w:rFonts w:ascii="Arial" w:hAnsi="Arial" w:cs="Arial"/>
          <w:sz w:val="20"/>
          <w:szCs w:val="20"/>
        </w:rPr>
        <w:t xml:space="preserve">PDM = Parts de marché. </w:t>
      </w:r>
    </w:p>
    <w:p w14:paraId="5174EEA5" w14:textId="77777777" w:rsidR="00C83C1A" w:rsidRPr="004B700F" w:rsidRDefault="00C83C1A" w:rsidP="00C83C1A">
      <w:pPr>
        <w:spacing w:after="0" w:line="240" w:lineRule="auto"/>
        <w:rPr>
          <w:rFonts w:ascii="Arial" w:hAnsi="Arial" w:cs="Arial"/>
          <w:sz w:val="16"/>
          <w:szCs w:val="16"/>
        </w:rPr>
      </w:pPr>
    </w:p>
    <w:p w14:paraId="595437F4" w14:textId="73EAC789" w:rsidR="00214CE1" w:rsidRPr="00A72238" w:rsidRDefault="00214CE1" w:rsidP="00C83C1A">
      <w:pPr>
        <w:spacing w:after="0" w:line="240" w:lineRule="auto"/>
        <w:jc w:val="right"/>
        <w:rPr>
          <w:rFonts w:ascii="Arial" w:hAnsi="Arial" w:cs="Arial"/>
          <w:i/>
          <w:sz w:val="24"/>
          <w:szCs w:val="24"/>
        </w:rPr>
      </w:pPr>
      <w:r w:rsidRPr="00A72238">
        <w:rPr>
          <w:rFonts w:ascii="Arial" w:hAnsi="Arial" w:cs="Arial"/>
          <w:i/>
          <w:sz w:val="24"/>
          <w:szCs w:val="24"/>
        </w:rPr>
        <w:t>Source :</w:t>
      </w:r>
      <w:r w:rsidR="00C83C1A">
        <w:rPr>
          <w:rFonts w:ascii="Arial" w:hAnsi="Arial" w:cs="Arial"/>
          <w:i/>
          <w:sz w:val="24"/>
          <w:szCs w:val="24"/>
        </w:rPr>
        <w:t xml:space="preserve"> Counterpoint, bureau d’études et d’analyse en stratégie d’entreprises.</w:t>
      </w:r>
      <w:r w:rsidRPr="00A72238">
        <w:rPr>
          <w:rFonts w:ascii="Arial" w:hAnsi="Arial" w:cs="Arial"/>
          <w:i/>
          <w:sz w:val="24"/>
          <w:szCs w:val="24"/>
        </w:rPr>
        <w:t xml:space="preserve"> </w:t>
      </w:r>
    </w:p>
    <w:p w14:paraId="6736432B" w14:textId="77777777" w:rsidR="00C83C1A" w:rsidRPr="00C83C1A" w:rsidRDefault="00C83C1A" w:rsidP="00C83C1A">
      <w:pPr>
        <w:spacing w:after="0" w:line="240" w:lineRule="auto"/>
        <w:jc w:val="both"/>
        <w:rPr>
          <w:rFonts w:ascii="Arial" w:hAnsi="Arial" w:cs="Arial"/>
          <w:bCs/>
          <w:sz w:val="24"/>
          <w:szCs w:val="24"/>
        </w:rPr>
      </w:pPr>
    </w:p>
    <w:p w14:paraId="04DF6CCE" w14:textId="27BBC4A1" w:rsidR="00FD17C3" w:rsidRDefault="00FD17C3" w:rsidP="00C83C1A">
      <w:pPr>
        <w:spacing w:after="0" w:line="240" w:lineRule="auto"/>
        <w:jc w:val="both"/>
        <w:rPr>
          <w:rFonts w:ascii="Arial" w:hAnsi="Arial" w:cs="Arial"/>
          <w:b/>
          <w:bCs/>
          <w:sz w:val="24"/>
          <w:szCs w:val="24"/>
        </w:rPr>
      </w:pPr>
      <w:r w:rsidRPr="00FD17C3">
        <w:rPr>
          <w:rFonts w:ascii="Arial" w:hAnsi="Arial" w:cs="Arial"/>
          <w:b/>
          <w:bCs/>
          <w:sz w:val="24"/>
          <w:szCs w:val="24"/>
        </w:rPr>
        <w:t>Annexe 2 : L’indice de concentration d’un marché – indice IHH Herfindahl-Hirschmann</w:t>
      </w:r>
      <w:r w:rsidR="00C83C1A">
        <w:rPr>
          <w:rFonts w:ascii="Arial" w:hAnsi="Arial" w:cs="Arial"/>
          <w:b/>
          <w:bCs/>
          <w:sz w:val="24"/>
          <w:szCs w:val="24"/>
        </w:rPr>
        <w:t>.</w:t>
      </w:r>
    </w:p>
    <w:p w14:paraId="5B5B84E6" w14:textId="77777777" w:rsidR="00F80602" w:rsidRPr="004B1517" w:rsidRDefault="00F80602" w:rsidP="004B1517">
      <w:pPr>
        <w:spacing w:after="0" w:line="240" w:lineRule="auto"/>
        <w:jc w:val="both"/>
        <w:rPr>
          <w:rFonts w:ascii="Arial" w:hAnsi="Arial" w:cs="Arial"/>
          <w:bCs/>
          <w:sz w:val="24"/>
          <w:szCs w:val="24"/>
        </w:rPr>
      </w:pPr>
    </w:p>
    <w:p w14:paraId="1593F3EC" w14:textId="65D01480" w:rsidR="00F80602" w:rsidRPr="004B1517" w:rsidRDefault="00F80602" w:rsidP="004B1517">
      <w:pPr>
        <w:spacing w:after="0" w:line="240" w:lineRule="auto"/>
        <w:rPr>
          <w:rFonts w:ascii="Arial" w:eastAsia="Times New Roman" w:hAnsi="Arial" w:cs="Arial"/>
          <w:sz w:val="24"/>
          <w:szCs w:val="24"/>
          <w:lang w:eastAsia="fr-FR"/>
        </w:rPr>
      </w:pPr>
      <w:r w:rsidRPr="004B1517">
        <w:rPr>
          <w:rFonts w:ascii="Arial" w:eastAsia="Times New Roman" w:hAnsi="Arial" w:cs="Arial"/>
          <w:sz w:val="24"/>
          <w:szCs w:val="24"/>
          <w:lang w:eastAsia="fr-FR"/>
        </w:rPr>
        <w:t>L'</w:t>
      </w:r>
      <w:r w:rsidRPr="004B1517">
        <w:rPr>
          <w:rFonts w:ascii="Arial" w:eastAsia="Times New Roman" w:hAnsi="Arial" w:cs="Arial"/>
          <w:bCs/>
          <w:sz w:val="24"/>
          <w:szCs w:val="24"/>
          <w:lang w:eastAsia="fr-FR"/>
        </w:rPr>
        <w:t>indice de Herfindahl-Hirschman</w:t>
      </w:r>
      <w:r w:rsidRPr="004B1517">
        <w:rPr>
          <w:rFonts w:ascii="Arial" w:eastAsia="Times New Roman" w:hAnsi="Arial" w:cs="Arial"/>
          <w:sz w:val="24"/>
          <w:szCs w:val="24"/>
          <w:lang w:eastAsia="fr-FR"/>
        </w:rPr>
        <w:t xml:space="preserve"> (en anglais, </w:t>
      </w:r>
      <w:r w:rsidRPr="004B1517">
        <w:rPr>
          <w:rFonts w:ascii="Arial" w:eastAsia="Times New Roman" w:hAnsi="Arial" w:cs="Arial"/>
          <w:i/>
          <w:iCs/>
          <w:sz w:val="24"/>
          <w:szCs w:val="24"/>
          <w:lang w:eastAsia="fr-FR"/>
        </w:rPr>
        <w:t>Herfindahl-Hirschman Index</w:t>
      </w:r>
      <w:r w:rsidRPr="004B1517">
        <w:rPr>
          <w:rFonts w:ascii="Arial" w:eastAsia="Times New Roman" w:hAnsi="Arial" w:cs="Arial"/>
          <w:sz w:val="24"/>
          <w:szCs w:val="24"/>
          <w:lang w:eastAsia="fr-FR"/>
        </w:rPr>
        <w:t xml:space="preserve"> : </w:t>
      </w:r>
      <w:r w:rsidRPr="004B1517">
        <w:rPr>
          <w:rFonts w:ascii="Arial" w:eastAsia="Times New Roman" w:hAnsi="Arial" w:cs="Arial"/>
          <w:bCs/>
          <w:sz w:val="24"/>
          <w:szCs w:val="24"/>
          <w:lang w:eastAsia="fr-FR"/>
        </w:rPr>
        <w:t>IHH</w:t>
      </w:r>
      <w:r w:rsidRPr="004B1517">
        <w:rPr>
          <w:rFonts w:ascii="Arial" w:eastAsia="Times New Roman" w:hAnsi="Arial" w:cs="Arial"/>
          <w:sz w:val="24"/>
          <w:szCs w:val="24"/>
          <w:lang w:eastAsia="fr-FR"/>
        </w:rPr>
        <w:t xml:space="preserve"> ou </w:t>
      </w:r>
      <w:r w:rsidRPr="004B1517">
        <w:rPr>
          <w:rFonts w:ascii="Arial" w:eastAsia="Times New Roman" w:hAnsi="Arial" w:cs="Arial"/>
          <w:bCs/>
          <w:sz w:val="24"/>
          <w:szCs w:val="24"/>
          <w:lang w:eastAsia="fr-FR"/>
        </w:rPr>
        <w:t>HHI</w:t>
      </w:r>
      <w:r w:rsidRPr="004B1517">
        <w:rPr>
          <w:rFonts w:ascii="Arial" w:eastAsia="Times New Roman" w:hAnsi="Arial" w:cs="Arial"/>
          <w:sz w:val="24"/>
          <w:szCs w:val="24"/>
          <w:lang w:eastAsia="fr-FR"/>
        </w:rPr>
        <w:t xml:space="preserve">) est un </w:t>
      </w:r>
      <w:hyperlink r:id="rId9" w:tooltip="Indice" w:history="1">
        <w:r w:rsidRPr="004B1517">
          <w:rPr>
            <w:rFonts w:ascii="Arial" w:eastAsia="Times New Roman" w:hAnsi="Arial" w:cs="Arial"/>
            <w:sz w:val="24"/>
            <w:szCs w:val="24"/>
            <w:lang w:eastAsia="fr-FR"/>
          </w:rPr>
          <w:t>indice</w:t>
        </w:r>
      </w:hyperlink>
      <w:r w:rsidRPr="004B1517">
        <w:rPr>
          <w:rFonts w:ascii="Arial" w:eastAsia="Times New Roman" w:hAnsi="Arial" w:cs="Arial"/>
          <w:sz w:val="24"/>
          <w:szCs w:val="24"/>
          <w:lang w:eastAsia="fr-FR"/>
        </w:rPr>
        <w:t xml:space="preserve"> mesurant la concentration du marché. Il est établi en additionnant le </w:t>
      </w:r>
      <w:hyperlink r:id="rId10" w:tooltip="Carré (algèbre)" w:history="1">
        <w:r w:rsidRPr="004B1517">
          <w:rPr>
            <w:rFonts w:ascii="Arial" w:eastAsia="Times New Roman" w:hAnsi="Arial" w:cs="Arial"/>
            <w:sz w:val="24"/>
            <w:szCs w:val="24"/>
            <w:lang w:eastAsia="fr-FR"/>
          </w:rPr>
          <w:t>carré</w:t>
        </w:r>
      </w:hyperlink>
      <w:r w:rsidRPr="004B1517">
        <w:rPr>
          <w:rFonts w:ascii="Arial" w:eastAsia="Times New Roman" w:hAnsi="Arial" w:cs="Arial"/>
          <w:sz w:val="24"/>
          <w:szCs w:val="24"/>
          <w:lang w:eastAsia="fr-FR"/>
        </w:rPr>
        <w:t xml:space="preserve"> des </w:t>
      </w:r>
      <w:hyperlink r:id="rId11" w:tooltip="Part de marché" w:history="1">
        <w:r w:rsidRPr="004B1517">
          <w:rPr>
            <w:rFonts w:ascii="Arial" w:eastAsia="Times New Roman" w:hAnsi="Arial" w:cs="Arial"/>
            <w:sz w:val="24"/>
            <w:szCs w:val="24"/>
            <w:lang w:eastAsia="fr-FR"/>
          </w:rPr>
          <w:t>parts de marché</w:t>
        </w:r>
      </w:hyperlink>
      <w:r w:rsidRPr="004B1517">
        <w:rPr>
          <w:rFonts w:ascii="Arial" w:eastAsia="Times New Roman" w:hAnsi="Arial" w:cs="Arial"/>
          <w:sz w:val="24"/>
          <w:szCs w:val="24"/>
          <w:lang w:eastAsia="fr-FR"/>
        </w:rPr>
        <w:t xml:space="preserve"> (généralement multipliées par 100) de toutes les entreprises du secteur considéré. Plus l'IHH d'un secteur est fort, plus la production est </w:t>
      </w:r>
      <w:r w:rsidR="004B1517">
        <w:rPr>
          <w:rFonts w:ascii="Arial" w:eastAsia="Times New Roman" w:hAnsi="Arial" w:cs="Arial"/>
          <w:sz w:val="24"/>
          <w:szCs w:val="24"/>
          <w:lang w:eastAsia="fr-FR"/>
        </w:rPr>
        <w:t>concentrée.</w:t>
      </w:r>
    </w:p>
    <w:p w14:paraId="69731F90" w14:textId="77777777" w:rsidR="00C83C1A" w:rsidRPr="004B1517" w:rsidRDefault="00C83C1A" w:rsidP="004B1517">
      <w:pPr>
        <w:spacing w:after="0" w:line="240" w:lineRule="auto"/>
        <w:jc w:val="both"/>
        <w:rPr>
          <w:rFonts w:ascii="Arial" w:hAnsi="Arial" w:cs="Arial"/>
          <w:bCs/>
          <w:sz w:val="24"/>
          <w:szCs w:val="24"/>
        </w:rPr>
      </w:pPr>
    </w:p>
    <w:p w14:paraId="4BC6647A" w14:textId="77777777" w:rsidR="00FD17C3" w:rsidRPr="00FD17C3" w:rsidRDefault="00FD17C3" w:rsidP="00C83C1A">
      <w:pPr>
        <w:spacing w:after="0" w:line="240" w:lineRule="auto"/>
        <w:rPr>
          <w:rFonts w:ascii="Arial" w:hAnsi="Arial" w:cs="Arial"/>
          <w:sz w:val="24"/>
          <w:szCs w:val="24"/>
        </w:rPr>
      </w:pPr>
      <w:r w:rsidRPr="00FD17C3">
        <w:rPr>
          <w:rFonts w:ascii="Arial" w:hAnsi="Arial" w:cs="Arial"/>
          <w:sz w:val="24"/>
          <w:szCs w:val="24"/>
        </w:rPr>
        <w:t xml:space="preserve">Lecture de la concentration d’un marché : </w:t>
      </w:r>
    </w:p>
    <w:tbl>
      <w:tblPr>
        <w:tblStyle w:val="Grilledutableau"/>
        <w:tblW w:w="0" w:type="auto"/>
        <w:jc w:val="center"/>
        <w:tblLook w:val="04A0" w:firstRow="1" w:lastRow="0" w:firstColumn="1" w:lastColumn="0" w:noHBand="0" w:noVBand="1"/>
      </w:tblPr>
      <w:tblGrid>
        <w:gridCol w:w="3020"/>
        <w:gridCol w:w="3021"/>
        <w:gridCol w:w="3021"/>
      </w:tblGrid>
      <w:tr w:rsidR="00FD17C3" w:rsidRPr="00FD17C3" w14:paraId="74E33AE1" w14:textId="77777777" w:rsidTr="00D77EB4">
        <w:trPr>
          <w:jc w:val="center"/>
        </w:trPr>
        <w:tc>
          <w:tcPr>
            <w:tcW w:w="3020" w:type="dxa"/>
          </w:tcPr>
          <w:p w14:paraId="15096D78" w14:textId="77777777" w:rsidR="00FD17C3" w:rsidRPr="00FD17C3" w:rsidRDefault="00FD17C3" w:rsidP="00C83C1A">
            <w:pPr>
              <w:rPr>
                <w:rFonts w:ascii="Arial" w:hAnsi="Arial" w:cs="Arial"/>
                <w:sz w:val="24"/>
                <w:szCs w:val="24"/>
              </w:rPr>
            </w:pPr>
            <w:r w:rsidRPr="00FD17C3">
              <w:rPr>
                <w:rFonts w:ascii="Arial" w:hAnsi="Arial" w:cs="Arial"/>
                <w:sz w:val="24"/>
                <w:szCs w:val="24"/>
              </w:rPr>
              <w:t>IHH &lt; 1 000</w:t>
            </w:r>
          </w:p>
        </w:tc>
        <w:tc>
          <w:tcPr>
            <w:tcW w:w="3021" w:type="dxa"/>
          </w:tcPr>
          <w:p w14:paraId="25B96392" w14:textId="77777777" w:rsidR="00FD17C3" w:rsidRPr="00FD17C3" w:rsidRDefault="00FD17C3" w:rsidP="00C83C1A">
            <w:pPr>
              <w:rPr>
                <w:rFonts w:ascii="Arial" w:hAnsi="Arial" w:cs="Arial"/>
                <w:sz w:val="24"/>
                <w:szCs w:val="24"/>
              </w:rPr>
            </w:pPr>
            <w:r w:rsidRPr="00FD17C3">
              <w:rPr>
                <w:rFonts w:ascii="Arial" w:hAnsi="Arial" w:cs="Arial"/>
                <w:sz w:val="24"/>
                <w:szCs w:val="24"/>
              </w:rPr>
              <w:t>1 000 &lt; IHH &lt; 2 000</w:t>
            </w:r>
          </w:p>
        </w:tc>
        <w:tc>
          <w:tcPr>
            <w:tcW w:w="3021" w:type="dxa"/>
          </w:tcPr>
          <w:p w14:paraId="542D9CBF" w14:textId="77777777" w:rsidR="00FD17C3" w:rsidRPr="00FD17C3" w:rsidRDefault="00FD17C3" w:rsidP="00C83C1A">
            <w:pPr>
              <w:rPr>
                <w:rFonts w:ascii="Arial" w:hAnsi="Arial" w:cs="Arial"/>
                <w:sz w:val="24"/>
                <w:szCs w:val="24"/>
              </w:rPr>
            </w:pPr>
            <w:r w:rsidRPr="00FD17C3">
              <w:rPr>
                <w:rFonts w:ascii="Arial" w:hAnsi="Arial" w:cs="Arial"/>
                <w:sz w:val="24"/>
                <w:szCs w:val="24"/>
              </w:rPr>
              <w:t>IHH &gt; 2 000</w:t>
            </w:r>
          </w:p>
        </w:tc>
      </w:tr>
      <w:tr w:rsidR="00FD17C3" w:rsidRPr="00DC1D39" w14:paraId="0FD99495" w14:textId="77777777" w:rsidTr="00D77EB4">
        <w:trPr>
          <w:jc w:val="center"/>
        </w:trPr>
        <w:tc>
          <w:tcPr>
            <w:tcW w:w="3020" w:type="dxa"/>
          </w:tcPr>
          <w:p w14:paraId="4C56AE5E" w14:textId="77777777" w:rsidR="00FD17C3" w:rsidRPr="00FD17C3" w:rsidRDefault="00FD17C3" w:rsidP="00C83C1A">
            <w:pPr>
              <w:rPr>
                <w:rFonts w:ascii="Arial" w:hAnsi="Arial" w:cs="Arial"/>
                <w:sz w:val="24"/>
                <w:szCs w:val="24"/>
              </w:rPr>
            </w:pPr>
            <w:r w:rsidRPr="00FD17C3">
              <w:rPr>
                <w:rFonts w:ascii="Arial" w:hAnsi="Arial" w:cs="Arial"/>
                <w:sz w:val="24"/>
                <w:szCs w:val="24"/>
              </w:rPr>
              <w:t>Marché peu concentré</w:t>
            </w:r>
          </w:p>
        </w:tc>
        <w:tc>
          <w:tcPr>
            <w:tcW w:w="3021" w:type="dxa"/>
          </w:tcPr>
          <w:p w14:paraId="346C23E4" w14:textId="77777777" w:rsidR="00FD17C3" w:rsidRPr="00FD17C3" w:rsidRDefault="00FD17C3" w:rsidP="00C83C1A">
            <w:pPr>
              <w:rPr>
                <w:rFonts w:ascii="Arial" w:hAnsi="Arial" w:cs="Arial"/>
                <w:sz w:val="24"/>
                <w:szCs w:val="24"/>
              </w:rPr>
            </w:pPr>
            <w:r w:rsidRPr="00FD17C3">
              <w:rPr>
                <w:rFonts w:ascii="Arial" w:hAnsi="Arial" w:cs="Arial"/>
                <w:sz w:val="24"/>
                <w:szCs w:val="24"/>
              </w:rPr>
              <w:t>Marché relativement concentré</w:t>
            </w:r>
          </w:p>
        </w:tc>
        <w:tc>
          <w:tcPr>
            <w:tcW w:w="3021" w:type="dxa"/>
          </w:tcPr>
          <w:p w14:paraId="33A9B034" w14:textId="77777777" w:rsidR="00FD17C3" w:rsidRPr="00DC1D39" w:rsidRDefault="00FD17C3" w:rsidP="00C83C1A">
            <w:pPr>
              <w:rPr>
                <w:rFonts w:ascii="Arial" w:hAnsi="Arial" w:cs="Arial"/>
                <w:sz w:val="24"/>
                <w:szCs w:val="24"/>
              </w:rPr>
            </w:pPr>
            <w:r w:rsidRPr="00FD17C3">
              <w:rPr>
                <w:rFonts w:ascii="Arial" w:hAnsi="Arial" w:cs="Arial"/>
                <w:sz w:val="24"/>
                <w:szCs w:val="24"/>
              </w:rPr>
              <w:t>Marché très concentré</w:t>
            </w:r>
          </w:p>
        </w:tc>
      </w:tr>
    </w:tbl>
    <w:p w14:paraId="08DF72E3" w14:textId="77777777" w:rsidR="00C83C1A" w:rsidRPr="004B700F" w:rsidRDefault="00C83C1A" w:rsidP="00C83C1A">
      <w:pPr>
        <w:spacing w:after="0" w:line="240" w:lineRule="auto"/>
        <w:jc w:val="right"/>
        <w:rPr>
          <w:rFonts w:ascii="Arial" w:hAnsi="Arial" w:cs="Arial"/>
          <w:sz w:val="16"/>
          <w:szCs w:val="16"/>
        </w:rPr>
      </w:pPr>
    </w:p>
    <w:p w14:paraId="2925DBDE" w14:textId="23623030" w:rsidR="00FD17C3" w:rsidRPr="00C83C1A" w:rsidRDefault="00C83C1A" w:rsidP="00C83C1A">
      <w:pPr>
        <w:spacing w:after="0" w:line="240" w:lineRule="auto"/>
        <w:jc w:val="right"/>
        <w:rPr>
          <w:rFonts w:ascii="Arial" w:hAnsi="Arial" w:cs="Arial"/>
          <w:i/>
          <w:sz w:val="24"/>
          <w:szCs w:val="24"/>
        </w:rPr>
      </w:pPr>
      <w:r w:rsidRPr="00C83C1A">
        <w:rPr>
          <w:rFonts w:ascii="Arial" w:hAnsi="Arial" w:cs="Arial"/>
          <w:i/>
          <w:sz w:val="24"/>
          <w:szCs w:val="24"/>
        </w:rPr>
        <w:t>Source : d’après Autorité de la concurrence</w:t>
      </w:r>
      <w:r w:rsidR="00FD17C3" w:rsidRPr="00C83C1A">
        <w:rPr>
          <w:rFonts w:ascii="Arial" w:hAnsi="Arial" w:cs="Arial"/>
          <w:i/>
          <w:sz w:val="24"/>
          <w:szCs w:val="24"/>
        </w:rPr>
        <w:t>.</w:t>
      </w:r>
    </w:p>
    <w:p w14:paraId="3ACA7B0D" w14:textId="77777777" w:rsidR="00FD17C3" w:rsidRDefault="00FD17C3" w:rsidP="00C83C1A">
      <w:pPr>
        <w:spacing w:after="0" w:line="240" w:lineRule="auto"/>
        <w:jc w:val="both"/>
        <w:rPr>
          <w:rFonts w:ascii="Arial" w:hAnsi="Arial" w:cs="Arial"/>
          <w:b/>
          <w:bCs/>
          <w:sz w:val="24"/>
          <w:szCs w:val="24"/>
        </w:rPr>
      </w:pPr>
    </w:p>
    <w:p w14:paraId="069FA934" w14:textId="65B454B8" w:rsidR="00881281" w:rsidRDefault="00881281" w:rsidP="00C83C1A">
      <w:pPr>
        <w:spacing w:after="0" w:line="240" w:lineRule="auto"/>
        <w:jc w:val="both"/>
        <w:rPr>
          <w:rFonts w:ascii="Arial" w:hAnsi="Arial" w:cs="Arial"/>
          <w:b/>
          <w:bCs/>
          <w:sz w:val="24"/>
          <w:szCs w:val="24"/>
        </w:rPr>
      </w:pPr>
      <w:r w:rsidRPr="006A690F">
        <w:rPr>
          <w:rFonts w:ascii="Arial" w:hAnsi="Arial" w:cs="Arial"/>
          <w:b/>
          <w:bCs/>
          <w:sz w:val="24"/>
          <w:szCs w:val="24"/>
        </w:rPr>
        <w:t xml:space="preserve">Annexe </w:t>
      </w:r>
      <w:r w:rsidR="00E54BD6">
        <w:rPr>
          <w:rFonts w:ascii="Arial" w:hAnsi="Arial" w:cs="Arial"/>
          <w:b/>
          <w:bCs/>
          <w:sz w:val="24"/>
          <w:szCs w:val="24"/>
        </w:rPr>
        <w:t>3</w:t>
      </w:r>
      <w:r w:rsidRPr="006A690F">
        <w:rPr>
          <w:rFonts w:ascii="Arial" w:hAnsi="Arial" w:cs="Arial"/>
          <w:b/>
          <w:bCs/>
          <w:sz w:val="24"/>
          <w:szCs w:val="24"/>
        </w:rPr>
        <w:t xml:space="preserve"> : </w:t>
      </w:r>
      <w:r w:rsidR="00F7273F" w:rsidRPr="006A690F">
        <w:rPr>
          <w:rFonts w:ascii="Arial" w:hAnsi="Arial" w:cs="Arial"/>
          <w:b/>
          <w:bCs/>
          <w:sz w:val="24"/>
          <w:szCs w:val="24"/>
        </w:rPr>
        <w:t>Concurrence et innovation</w:t>
      </w:r>
      <w:r w:rsidR="00A727F0">
        <w:rPr>
          <w:rFonts w:ascii="Arial" w:hAnsi="Arial" w:cs="Arial"/>
          <w:b/>
          <w:bCs/>
          <w:sz w:val="24"/>
          <w:szCs w:val="24"/>
        </w:rPr>
        <w:t>.</w:t>
      </w:r>
    </w:p>
    <w:p w14:paraId="6547A04B" w14:textId="77777777" w:rsidR="00290719" w:rsidRPr="00290719" w:rsidRDefault="00290719" w:rsidP="00C83C1A">
      <w:pPr>
        <w:spacing w:after="0" w:line="240" w:lineRule="auto"/>
        <w:jc w:val="both"/>
        <w:rPr>
          <w:rFonts w:ascii="Arial" w:hAnsi="Arial" w:cs="Arial"/>
          <w:bCs/>
          <w:sz w:val="24"/>
          <w:szCs w:val="24"/>
        </w:rPr>
      </w:pPr>
    </w:p>
    <w:p w14:paraId="362AF0C8" w14:textId="35B9D909" w:rsidR="00881281" w:rsidRPr="00F7273F" w:rsidRDefault="00881281" w:rsidP="00C83C1A">
      <w:pPr>
        <w:pStyle w:val="NormalWeb"/>
        <w:shd w:val="clear" w:color="auto" w:fill="FFFFFF"/>
        <w:spacing w:before="0" w:beforeAutospacing="0" w:after="0" w:afterAutospacing="0"/>
        <w:jc w:val="both"/>
        <w:rPr>
          <w:rFonts w:ascii="Arial" w:hAnsi="Arial" w:cs="Arial"/>
        </w:rPr>
      </w:pPr>
      <w:r w:rsidRPr="00290719">
        <w:rPr>
          <w:rStyle w:val="Accentuation"/>
          <w:rFonts w:ascii="Arial" w:hAnsi="Arial" w:cs="Arial"/>
          <w:i w:val="0"/>
        </w:rPr>
        <w:t>Les neuf premières marques contribuent à 75% des expéditions sur le marché. Samsung, Fitbit et Huawei ont connu une croissance exponentielle au premier trimestre 2019</w:t>
      </w:r>
      <w:r w:rsidR="00F7273F" w:rsidRPr="00290719">
        <w:rPr>
          <w:rStyle w:val="Accentuation"/>
          <w:rFonts w:ascii="Arial" w:hAnsi="Arial" w:cs="Arial"/>
          <w:i w:val="0"/>
        </w:rPr>
        <w:t>.</w:t>
      </w:r>
      <w:r w:rsidR="00F7273F" w:rsidRPr="00F7273F">
        <w:rPr>
          <w:rStyle w:val="Accentuation"/>
          <w:rFonts w:ascii="Arial" w:hAnsi="Arial" w:cs="Arial"/>
        </w:rPr>
        <w:t xml:space="preserve"> </w:t>
      </w:r>
      <w:r w:rsidRPr="00F7273F">
        <w:rPr>
          <w:rFonts w:ascii="Arial" w:hAnsi="Arial" w:cs="Arial"/>
        </w:rPr>
        <w:t>Les livraisons mondiales de montres connectées ont augmenté de 48% en glissement annuel (T1) au premier trimestre 2019, sous l'impulsion d' </w:t>
      </w:r>
      <w:r w:rsidRPr="00303541">
        <w:rPr>
          <w:rFonts w:ascii="Arial" w:hAnsi="Arial" w:cs="Arial"/>
          <w:bdr w:val="none" w:sz="0" w:space="0" w:color="auto" w:frame="1"/>
        </w:rPr>
        <w:t>Apple</w:t>
      </w:r>
      <w:r w:rsidRPr="00F7273F">
        <w:rPr>
          <w:rFonts w:ascii="Arial" w:hAnsi="Arial" w:cs="Arial"/>
        </w:rPr>
        <w:t> , Samsung, </w:t>
      </w:r>
      <w:r w:rsidRPr="00303541">
        <w:rPr>
          <w:rFonts w:ascii="Arial" w:hAnsi="Arial" w:cs="Arial"/>
          <w:bdr w:val="none" w:sz="0" w:space="0" w:color="auto" w:frame="1"/>
        </w:rPr>
        <w:t>Fitbit</w:t>
      </w:r>
      <w:r w:rsidRPr="00F7273F">
        <w:rPr>
          <w:rFonts w:ascii="Arial" w:hAnsi="Arial" w:cs="Arial"/>
        </w:rPr>
        <w:t> et Huawei, selon les dernières recherches du </w:t>
      </w:r>
      <w:r w:rsidRPr="00303541">
        <w:rPr>
          <w:rFonts w:ascii="Arial" w:hAnsi="Arial" w:cs="Arial"/>
          <w:i/>
          <w:iCs/>
          <w:bdr w:val="none" w:sz="0" w:space="0" w:color="auto" w:frame="1"/>
        </w:rPr>
        <w:t>Global Smartwatch Tracker</w:t>
      </w:r>
      <w:r w:rsidRPr="00F7273F">
        <w:rPr>
          <w:rFonts w:ascii="Arial" w:hAnsi="Arial" w:cs="Arial"/>
        </w:rPr>
        <w:t> de Counterpoint .</w:t>
      </w:r>
      <w:r w:rsidR="006A690F">
        <w:rPr>
          <w:rFonts w:ascii="Arial" w:hAnsi="Arial" w:cs="Arial"/>
        </w:rPr>
        <w:t xml:space="preserve"> […]</w:t>
      </w:r>
      <w:r w:rsidRPr="00F7273F">
        <w:rPr>
          <w:rFonts w:ascii="Arial" w:hAnsi="Arial" w:cs="Arial"/>
        </w:rPr>
        <w:t xml:space="preserve"> «Les expéditions d'Apple Watch ont augmenté de 49% en glissement annuel malgré la faible demande pour ses iPhones. Apple continue de se concentrer sur les fonctionnalités liées à la santé comme l'ECG (Electro Cardio Gramme) et la détection des chutes […]. Apple a maintenant reçu l'approbation de ses fonctionnalités ECG des autorités de santé de Hong Kong et de 19 autres pays, dont la France, l'Allemagne, l'Italie, l'Espagne et le Royaume-Uni. »</w:t>
      </w:r>
    </w:p>
    <w:p w14:paraId="54621D8F" w14:textId="77777777" w:rsidR="00303541" w:rsidRPr="004B700F" w:rsidRDefault="00303541" w:rsidP="00C83C1A">
      <w:pPr>
        <w:pStyle w:val="NormalWeb"/>
        <w:shd w:val="clear" w:color="auto" w:fill="FFFFFF"/>
        <w:spacing w:before="0" w:beforeAutospacing="0" w:after="0" w:afterAutospacing="0"/>
        <w:jc w:val="both"/>
        <w:rPr>
          <w:rFonts w:ascii="Arial" w:hAnsi="Arial" w:cs="Arial"/>
          <w:sz w:val="16"/>
          <w:szCs w:val="16"/>
        </w:rPr>
      </w:pPr>
    </w:p>
    <w:p w14:paraId="735A1DF7" w14:textId="77777777" w:rsidR="00303541" w:rsidRDefault="00881281" w:rsidP="00C83C1A">
      <w:pPr>
        <w:spacing w:after="0" w:line="240" w:lineRule="auto"/>
        <w:jc w:val="right"/>
        <w:rPr>
          <w:rFonts w:ascii="Arial" w:hAnsi="Arial" w:cs="Arial"/>
          <w:i/>
          <w:sz w:val="24"/>
          <w:szCs w:val="24"/>
        </w:rPr>
      </w:pPr>
      <w:r w:rsidRPr="00303541">
        <w:rPr>
          <w:rFonts w:ascii="Arial" w:hAnsi="Arial" w:cs="Arial"/>
          <w:i/>
          <w:sz w:val="24"/>
          <w:szCs w:val="24"/>
        </w:rPr>
        <w:t>Source :</w:t>
      </w:r>
      <w:r w:rsidR="00303541" w:rsidRPr="00303541">
        <w:rPr>
          <w:rFonts w:ascii="Arial" w:hAnsi="Arial" w:cs="Arial"/>
          <w:i/>
          <w:sz w:val="24"/>
          <w:szCs w:val="24"/>
        </w:rPr>
        <w:t xml:space="preserve"> Counterpoint, bureau d’études et d’analyse en stratégie d’entreprises</w:t>
      </w:r>
      <w:r w:rsidR="00303541">
        <w:rPr>
          <w:rFonts w:ascii="Arial" w:hAnsi="Arial" w:cs="Arial"/>
          <w:i/>
          <w:sz w:val="24"/>
          <w:szCs w:val="24"/>
        </w:rPr>
        <w:t>,</w:t>
      </w:r>
    </w:p>
    <w:p w14:paraId="1BBB821C" w14:textId="4E321B9C" w:rsidR="00881281" w:rsidRPr="00303541" w:rsidRDefault="00303541" w:rsidP="00C83C1A">
      <w:pPr>
        <w:spacing w:after="0" w:line="240" w:lineRule="auto"/>
        <w:jc w:val="right"/>
        <w:rPr>
          <w:rFonts w:ascii="Arial" w:hAnsi="Arial" w:cs="Arial"/>
          <w:i/>
          <w:sz w:val="24"/>
          <w:szCs w:val="24"/>
        </w:rPr>
      </w:pPr>
      <w:r w:rsidRPr="00303541">
        <w:rPr>
          <w:rFonts w:ascii="Arial" w:hAnsi="Arial" w:cs="Arial"/>
          <w:i/>
          <w:sz w:val="24"/>
          <w:szCs w:val="24"/>
        </w:rPr>
        <w:t>mai 2019.</w:t>
      </w:r>
    </w:p>
    <w:p w14:paraId="365E44C4" w14:textId="77777777" w:rsidR="00993194" w:rsidRDefault="00993194" w:rsidP="00C83C1A">
      <w:pPr>
        <w:spacing w:after="0" w:line="240" w:lineRule="auto"/>
        <w:jc w:val="right"/>
        <w:rPr>
          <w:rFonts w:ascii="Arial" w:hAnsi="Arial" w:cs="Arial"/>
          <w:sz w:val="24"/>
          <w:szCs w:val="24"/>
        </w:rPr>
      </w:pPr>
    </w:p>
    <w:p w14:paraId="037B30BC" w14:textId="0FB6A38B" w:rsidR="008F4630" w:rsidRPr="00214CE1" w:rsidRDefault="00214CE1" w:rsidP="00C83C1A">
      <w:pPr>
        <w:spacing w:after="0" w:line="240" w:lineRule="auto"/>
        <w:rPr>
          <w:rFonts w:ascii="Arial" w:hAnsi="Arial" w:cs="Arial"/>
          <w:b/>
          <w:bCs/>
          <w:sz w:val="24"/>
          <w:szCs w:val="24"/>
        </w:rPr>
      </w:pPr>
      <w:r w:rsidRPr="00214CE1">
        <w:rPr>
          <w:rFonts w:ascii="Arial" w:hAnsi="Arial" w:cs="Arial"/>
          <w:b/>
          <w:bCs/>
          <w:sz w:val="24"/>
          <w:szCs w:val="24"/>
        </w:rPr>
        <w:t xml:space="preserve">Annexe </w:t>
      </w:r>
      <w:r w:rsidR="00CA259F">
        <w:rPr>
          <w:rFonts w:ascii="Arial" w:hAnsi="Arial" w:cs="Arial"/>
          <w:b/>
          <w:bCs/>
          <w:sz w:val="24"/>
          <w:szCs w:val="24"/>
        </w:rPr>
        <w:t>4</w:t>
      </w:r>
      <w:r w:rsidR="00E54BD6">
        <w:rPr>
          <w:rFonts w:ascii="Arial" w:hAnsi="Arial" w:cs="Arial"/>
          <w:b/>
          <w:bCs/>
          <w:sz w:val="24"/>
          <w:szCs w:val="24"/>
        </w:rPr>
        <w:t> : L</w:t>
      </w:r>
      <w:r w:rsidRPr="00214CE1">
        <w:rPr>
          <w:rFonts w:ascii="Arial" w:hAnsi="Arial" w:cs="Arial"/>
          <w:b/>
          <w:bCs/>
          <w:sz w:val="24"/>
          <w:szCs w:val="24"/>
        </w:rPr>
        <w:t>a dynamique des monopoles</w:t>
      </w:r>
      <w:r w:rsidR="00A727F0">
        <w:rPr>
          <w:rFonts w:ascii="Arial" w:hAnsi="Arial" w:cs="Arial"/>
          <w:b/>
          <w:bCs/>
          <w:sz w:val="24"/>
          <w:szCs w:val="24"/>
        </w:rPr>
        <w:t>.</w:t>
      </w:r>
    </w:p>
    <w:p w14:paraId="06EBFA75" w14:textId="77777777" w:rsidR="00E54BD6" w:rsidRDefault="00E54BD6" w:rsidP="00C83C1A">
      <w:pPr>
        <w:pStyle w:val="NormalWeb"/>
        <w:shd w:val="clear" w:color="auto" w:fill="FFFFFF"/>
        <w:spacing w:before="0" w:beforeAutospacing="0" w:after="0" w:afterAutospacing="0"/>
        <w:jc w:val="both"/>
        <w:rPr>
          <w:rFonts w:ascii="Arial" w:hAnsi="Arial" w:cs="Arial"/>
          <w:color w:val="000000"/>
        </w:rPr>
      </w:pPr>
    </w:p>
    <w:p w14:paraId="2809577E" w14:textId="3947635A" w:rsidR="00214CE1" w:rsidRDefault="00214CE1" w:rsidP="00C83C1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Il est heureux que</w:t>
      </w:r>
      <w:r w:rsidR="00B95B20">
        <w:rPr>
          <w:rFonts w:ascii="Arial" w:hAnsi="Arial" w:cs="Arial"/>
          <w:color w:val="000000"/>
        </w:rPr>
        <w:t xml:space="preserve"> la politique</w:t>
      </w:r>
      <w:r>
        <w:rPr>
          <w:rFonts w:ascii="Arial" w:hAnsi="Arial" w:cs="Arial"/>
          <w:color w:val="000000"/>
        </w:rPr>
        <w:t xml:space="preserve"> de la concurrence</w:t>
      </w:r>
      <w:r w:rsidR="00B95B20">
        <w:rPr>
          <w:rFonts w:ascii="Arial" w:hAnsi="Arial" w:cs="Arial"/>
          <w:color w:val="000000"/>
        </w:rPr>
        <w:t xml:space="preserve"> […]</w:t>
      </w:r>
      <w:r>
        <w:rPr>
          <w:rFonts w:ascii="Arial" w:hAnsi="Arial" w:cs="Arial"/>
          <w:color w:val="000000"/>
        </w:rPr>
        <w:t xml:space="preserve"> ne sanctionne pas le monopole. D'un point de vue dynamique, la perspective d'obtenir une position de monopole (ou à tout le moins dominante) est justement ce qui incite les entreprises à innover, en particulier à mettre au point de nouveaux produits ou de nouveaux modèles </w:t>
      </w:r>
      <w:r>
        <w:rPr>
          <w:rFonts w:ascii="Arial" w:hAnsi="Arial" w:cs="Arial"/>
          <w:color w:val="000000"/>
        </w:rPr>
        <w:lastRenderedPageBreak/>
        <w:t>d'affaires. L'innovation étant un puissant moteur de la croissance économique, la condamnation des monopoles d'innovation</w:t>
      </w:r>
      <w:r w:rsidR="00E54BD6">
        <w:rPr>
          <w:rFonts w:ascii="Arial" w:hAnsi="Arial" w:cs="Arial"/>
          <w:color w:val="000000"/>
        </w:rPr>
        <w:t xml:space="preserve"> […]</w:t>
      </w:r>
      <w:r>
        <w:rPr>
          <w:rFonts w:ascii="Arial" w:hAnsi="Arial" w:cs="Arial"/>
          <w:color w:val="000000"/>
        </w:rPr>
        <w:t xml:space="preserve"> irait à l'encontre de l'intérêt général.</w:t>
      </w:r>
    </w:p>
    <w:p w14:paraId="096E4349" w14:textId="531206CC" w:rsidR="00214CE1" w:rsidRDefault="00E54BD6" w:rsidP="00C83C1A">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Pour Joseph Schumpeter [1883 - 1950</w:t>
      </w:r>
      <w:r w:rsidR="00214CE1">
        <w:rPr>
          <w:rFonts w:ascii="Arial" w:hAnsi="Arial" w:cs="Arial"/>
          <w:color w:val="000000"/>
        </w:rPr>
        <w:t>], tenant de cette approche dynamique du monopole, le succès et la rente qu'apporte une innovation ne durent qu'un temps. Une autre innovation et un autre monopole sont appelés à prendre la suite ; la position antérieurement acquise est érodée ; l'entreprise historique marginalisée. Par exemple, Apple a détrôné Nokia dans la téléphonie mobile et Nintendo a chassé Sega dans les consoles de jeux. Par ce jeu de « destruction créatrice » les positions dominantes des grandes entreprises naissent et disparaissent, elles sont inévitablement temporaires.</w:t>
      </w:r>
    </w:p>
    <w:p w14:paraId="25B08C51" w14:textId="7F8551EA" w:rsidR="00E54BD6" w:rsidRDefault="00E54BD6" w:rsidP="00C83C1A">
      <w:pPr>
        <w:pStyle w:val="NormalWeb"/>
        <w:shd w:val="clear" w:color="auto" w:fill="FFFFFF"/>
        <w:spacing w:before="0" w:beforeAutospacing="0" w:after="0" w:afterAutospacing="0"/>
        <w:jc w:val="both"/>
        <w:rPr>
          <w:rFonts w:ascii="Arial" w:hAnsi="Arial" w:cs="Arial"/>
          <w:color w:val="000000"/>
        </w:rPr>
      </w:pPr>
    </w:p>
    <w:p w14:paraId="180980B2" w14:textId="6EA9EAA8" w:rsidR="00FE7932" w:rsidRDefault="00FE7932" w:rsidP="00FE7932">
      <w:pPr>
        <w:pStyle w:val="NormalWeb"/>
        <w:shd w:val="clear" w:color="auto" w:fill="FFFFFF"/>
        <w:spacing w:before="0" w:beforeAutospacing="0" w:after="0" w:afterAutospacing="0"/>
        <w:jc w:val="both"/>
        <w:rPr>
          <w:rFonts w:ascii="Arial" w:hAnsi="Arial" w:cs="Arial"/>
          <w:color w:val="000000"/>
        </w:rPr>
      </w:pPr>
      <w:r w:rsidRPr="00FE7932">
        <w:rPr>
          <w:rFonts w:ascii="Arial" w:hAnsi="Arial" w:cs="Arial"/>
          <w:color w:val="000000"/>
        </w:rPr>
        <w:t xml:space="preserve">Le caractère temporaire des monopoles est cependant à relativiser. </w:t>
      </w:r>
      <w:r w:rsidRPr="00C656D2">
        <w:rPr>
          <w:rFonts w:ascii="Arial" w:hAnsi="Arial" w:cs="Arial"/>
          <w:color w:val="000000"/>
        </w:rPr>
        <w:t xml:space="preserve">[…] Le doute s'installe aujourd'hui sur l'érosion future des positions acquises par les géants américains du numérique. Celles d'Amazon ou de Facebook seront-elles un jour prochain contestées par de nouveaux entrants ? Microsoft, le GAFAM </w:t>
      </w:r>
      <w:r w:rsidRPr="003A23FC">
        <w:rPr>
          <w:rFonts w:ascii="Arial" w:hAnsi="Arial" w:cs="Arial"/>
          <w:iCs/>
          <w:color w:val="000000"/>
        </w:rPr>
        <w:t>(</w:t>
      </w:r>
      <w:r w:rsidRPr="000864FD">
        <w:rPr>
          <w:rFonts w:ascii="Arial" w:hAnsi="Arial" w:cs="Arial"/>
          <w:iCs/>
        </w:rPr>
        <w:t>Google, Amazon, Facebook, Apple et Microsoft</w:t>
      </w:r>
      <w:r w:rsidRPr="003A23FC">
        <w:rPr>
          <w:rFonts w:ascii="Arial" w:hAnsi="Arial" w:cs="Arial"/>
          <w:iCs/>
          <w:color w:val="2D3539"/>
        </w:rPr>
        <w:t>)</w:t>
      </w:r>
      <w:r w:rsidRPr="00C656D2">
        <w:rPr>
          <w:rFonts w:ascii="Arial" w:hAnsi="Arial" w:cs="Arial"/>
          <w:color w:val="000000"/>
        </w:rPr>
        <w:t xml:space="preserve"> historique, a près de 50 ans mais son système d'exploitation et sa suite bureautique pour ordinateur personnel continuent de dominer le marché. Ces logiciels comptent plus d'un milliard d'utilisateurs.</w:t>
      </w:r>
      <w:r>
        <w:rPr>
          <w:rFonts w:ascii="Arial" w:hAnsi="Arial" w:cs="Arial"/>
          <w:color w:val="000000"/>
        </w:rPr>
        <w:t xml:space="preserve"> </w:t>
      </w:r>
      <w:r w:rsidRPr="00C656D2">
        <w:rPr>
          <w:rFonts w:ascii="Arial" w:hAnsi="Arial" w:cs="Arial"/>
          <w:color w:val="000000"/>
        </w:rPr>
        <w:t xml:space="preserve">La position des géants </w:t>
      </w:r>
      <w:r>
        <w:rPr>
          <w:rFonts w:ascii="Arial" w:hAnsi="Arial" w:cs="Arial"/>
          <w:color w:val="000000"/>
        </w:rPr>
        <w:t>du numérique semble</w:t>
      </w:r>
      <w:r w:rsidRPr="00C656D2">
        <w:rPr>
          <w:rFonts w:ascii="Arial" w:hAnsi="Arial" w:cs="Arial"/>
          <w:color w:val="000000"/>
        </w:rPr>
        <w:t xml:space="preserve"> </w:t>
      </w:r>
      <w:r>
        <w:rPr>
          <w:rFonts w:ascii="Arial" w:hAnsi="Arial" w:cs="Arial"/>
          <w:color w:val="000000"/>
        </w:rPr>
        <w:t>[</w:t>
      </w:r>
      <w:r w:rsidRPr="00C656D2">
        <w:rPr>
          <w:rFonts w:ascii="Arial" w:hAnsi="Arial" w:cs="Arial"/>
          <w:color w:val="000000"/>
        </w:rPr>
        <w:t>imprenable</w:t>
      </w:r>
      <w:r>
        <w:rPr>
          <w:rFonts w:ascii="Arial" w:hAnsi="Arial" w:cs="Arial"/>
          <w:color w:val="000000"/>
        </w:rPr>
        <w:t>]</w:t>
      </w:r>
      <w:r w:rsidRPr="00C656D2">
        <w:rPr>
          <w:rFonts w:ascii="Arial" w:hAnsi="Arial" w:cs="Arial"/>
          <w:color w:val="000000"/>
        </w:rPr>
        <w:t xml:space="preserve"> car les barrières à l'entrée qui les protègent de la concurrence sont d'une hauteur considérable. </w:t>
      </w:r>
      <w:r w:rsidR="00A12364">
        <w:rPr>
          <w:rFonts w:ascii="Arial" w:hAnsi="Arial" w:cs="Arial"/>
          <w:color w:val="000000"/>
        </w:rPr>
        <w:t xml:space="preserve">[…] </w:t>
      </w:r>
      <w:r w:rsidRPr="00C656D2">
        <w:rPr>
          <w:rFonts w:ascii="Arial" w:hAnsi="Arial" w:cs="Arial"/>
          <w:color w:val="000000"/>
        </w:rPr>
        <w:t xml:space="preserve">De plus, il n'est guère possible de compter sur le droit de la concurrence tel qu'il est appliqué aujourd'hui […] pour briser ces monopoles : ils </w:t>
      </w:r>
      <w:r w:rsidR="000864FD">
        <w:rPr>
          <w:rFonts w:ascii="Arial" w:hAnsi="Arial" w:cs="Arial"/>
          <w:color w:val="000000"/>
        </w:rPr>
        <w:t>[…]</w:t>
      </w:r>
      <w:r w:rsidRPr="00C656D2">
        <w:rPr>
          <w:rFonts w:ascii="Arial" w:hAnsi="Arial" w:cs="Arial"/>
          <w:color w:val="000000"/>
        </w:rPr>
        <w:t xml:space="preserve"> sont capables de se poursuivre et se renouveler sans recourir à des pratiques illicites.</w:t>
      </w:r>
    </w:p>
    <w:p w14:paraId="38A4742C" w14:textId="77777777" w:rsidR="00FE7932" w:rsidRPr="004B700F" w:rsidRDefault="00FE7932" w:rsidP="00C83C1A">
      <w:pPr>
        <w:pStyle w:val="NormalWeb"/>
        <w:shd w:val="clear" w:color="auto" w:fill="FFFFFF"/>
        <w:spacing w:before="0" w:beforeAutospacing="0" w:after="0" w:afterAutospacing="0"/>
        <w:jc w:val="both"/>
        <w:rPr>
          <w:rFonts w:ascii="Arial" w:hAnsi="Arial" w:cs="Arial"/>
          <w:color w:val="000000"/>
          <w:sz w:val="16"/>
          <w:szCs w:val="16"/>
        </w:rPr>
      </w:pPr>
    </w:p>
    <w:p w14:paraId="7EDD0D11" w14:textId="77777777" w:rsidR="00FD18EF" w:rsidRDefault="00214CE1" w:rsidP="00C83C1A">
      <w:pPr>
        <w:spacing w:after="0" w:line="240" w:lineRule="auto"/>
        <w:jc w:val="right"/>
        <w:rPr>
          <w:rFonts w:ascii="Arial" w:hAnsi="Arial" w:cs="Arial"/>
          <w:i/>
          <w:sz w:val="24"/>
          <w:szCs w:val="24"/>
        </w:rPr>
      </w:pPr>
      <w:r w:rsidRPr="00FD18EF">
        <w:rPr>
          <w:rFonts w:ascii="Arial" w:hAnsi="Arial" w:cs="Arial"/>
          <w:i/>
          <w:sz w:val="24"/>
          <w:szCs w:val="24"/>
        </w:rPr>
        <w:t xml:space="preserve">Source : </w:t>
      </w:r>
      <w:r w:rsidR="00FD18EF" w:rsidRPr="00FD18EF">
        <w:rPr>
          <w:rFonts w:ascii="Arial" w:hAnsi="Arial" w:cs="Arial"/>
          <w:i/>
          <w:sz w:val="24"/>
          <w:szCs w:val="24"/>
        </w:rPr>
        <w:t>François Lévêque, Professeur d'économie à Mines ParisTech</w:t>
      </w:r>
      <w:r w:rsidR="00FD18EF">
        <w:rPr>
          <w:rFonts w:ascii="Arial" w:hAnsi="Arial" w:cs="Arial"/>
          <w:i/>
          <w:sz w:val="24"/>
          <w:szCs w:val="24"/>
        </w:rPr>
        <w:t>,</w:t>
      </w:r>
    </w:p>
    <w:p w14:paraId="6617F812" w14:textId="07B67CC4" w:rsidR="00214CE1" w:rsidRPr="00FD18EF" w:rsidRDefault="00FD18EF" w:rsidP="00C83C1A">
      <w:pPr>
        <w:spacing w:after="0" w:line="240" w:lineRule="auto"/>
        <w:jc w:val="right"/>
        <w:rPr>
          <w:i/>
        </w:rPr>
      </w:pPr>
      <w:r w:rsidRPr="00FD18EF">
        <w:rPr>
          <w:rFonts w:ascii="Arial" w:hAnsi="Arial" w:cs="Arial"/>
          <w:i/>
          <w:sz w:val="24"/>
          <w:szCs w:val="24"/>
        </w:rPr>
        <w:t>Ressources en sciences économiques, ENS Lyon.</w:t>
      </w:r>
    </w:p>
    <w:p w14:paraId="205D0A8E" w14:textId="77777777" w:rsidR="00FD18EF" w:rsidRPr="009C6698" w:rsidRDefault="00FD18EF" w:rsidP="00C83C1A">
      <w:pPr>
        <w:pStyle w:val="NormalWeb"/>
        <w:shd w:val="clear" w:color="auto" w:fill="FFFFFF"/>
        <w:spacing w:before="0" w:beforeAutospacing="0" w:after="0" w:afterAutospacing="0"/>
        <w:jc w:val="both"/>
        <w:rPr>
          <w:rFonts w:ascii="Arial" w:hAnsi="Arial" w:cs="Arial"/>
          <w:bCs/>
        </w:rPr>
      </w:pPr>
    </w:p>
    <w:p w14:paraId="3C2F1457" w14:textId="4A01D5A4" w:rsidR="00D022DD" w:rsidRDefault="00D022DD" w:rsidP="00C83C1A">
      <w:pPr>
        <w:pStyle w:val="NormalWeb"/>
        <w:shd w:val="clear" w:color="auto" w:fill="FFFFFF"/>
        <w:spacing w:before="0" w:beforeAutospacing="0" w:after="0" w:afterAutospacing="0"/>
        <w:jc w:val="both"/>
        <w:rPr>
          <w:rFonts w:ascii="Arial" w:hAnsi="Arial" w:cs="Arial"/>
          <w:b/>
          <w:bCs/>
        </w:rPr>
      </w:pPr>
      <w:r>
        <w:rPr>
          <w:rFonts w:ascii="Arial" w:hAnsi="Arial" w:cs="Arial"/>
          <w:b/>
          <w:bCs/>
        </w:rPr>
        <w:t xml:space="preserve">Annexe </w:t>
      </w:r>
      <w:r w:rsidR="00CA259F">
        <w:rPr>
          <w:rFonts w:ascii="Arial" w:hAnsi="Arial" w:cs="Arial"/>
          <w:b/>
          <w:bCs/>
        </w:rPr>
        <w:t>5</w:t>
      </w:r>
      <w:r w:rsidR="00E475A8">
        <w:rPr>
          <w:rFonts w:ascii="Arial" w:hAnsi="Arial" w:cs="Arial"/>
          <w:b/>
          <w:bCs/>
        </w:rPr>
        <w:t> : Les brevets déposés en France en 2017</w:t>
      </w:r>
      <w:r w:rsidR="00FD18EF">
        <w:rPr>
          <w:rFonts w:ascii="Arial" w:hAnsi="Arial" w:cs="Arial"/>
          <w:b/>
          <w:bCs/>
        </w:rPr>
        <w:t>.</w:t>
      </w:r>
    </w:p>
    <w:p w14:paraId="7F931E64" w14:textId="6E9DAF53" w:rsidR="00FD18EF" w:rsidRDefault="00FD18EF" w:rsidP="00C83C1A">
      <w:pPr>
        <w:pStyle w:val="NormalWeb"/>
        <w:shd w:val="clear" w:color="auto" w:fill="FFFFFF"/>
        <w:spacing w:before="0" w:beforeAutospacing="0" w:after="0" w:afterAutospacing="0"/>
        <w:jc w:val="both"/>
        <w:rPr>
          <w:rFonts w:ascii="Arial" w:hAnsi="Arial" w:cs="Arial"/>
          <w:bCs/>
        </w:rPr>
      </w:pPr>
    </w:p>
    <w:tbl>
      <w:tblPr>
        <w:tblStyle w:val="Grilledutableau"/>
        <w:tblW w:w="0" w:type="auto"/>
        <w:tblLook w:val="04A0" w:firstRow="1" w:lastRow="0" w:firstColumn="1" w:lastColumn="0" w:noHBand="0" w:noVBand="1"/>
      </w:tblPr>
      <w:tblGrid>
        <w:gridCol w:w="704"/>
        <w:gridCol w:w="5670"/>
        <w:gridCol w:w="2688"/>
      </w:tblGrid>
      <w:tr w:rsidR="00D415C0" w:rsidRPr="009C6698" w14:paraId="7DA0F911" w14:textId="77777777" w:rsidTr="00D415C0">
        <w:tc>
          <w:tcPr>
            <w:tcW w:w="9062" w:type="dxa"/>
            <w:gridSpan w:val="3"/>
            <w:vAlign w:val="center"/>
          </w:tcPr>
          <w:p w14:paraId="450F78FA" w14:textId="1C92AA6B" w:rsidR="00D415C0" w:rsidRPr="009C6698" w:rsidRDefault="00D415C0" w:rsidP="00D415C0">
            <w:pPr>
              <w:pStyle w:val="NormalWeb"/>
              <w:spacing w:before="0" w:beforeAutospacing="0" w:after="0" w:afterAutospacing="0"/>
              <w:jc w:val="center"/>
              <w:rPr>
                <w:rFonts w:ascii="Arial" w:hAnsi="Arial" w:cs="Arial"/>
                <w:b/>
                <w:bCs/>
                <w:sz w:val="18"/>
                <w:szCs w:val="18"/>
              </w:rPr>
            </w:pPr>
            <w:r w:rsidRPr="009C6698">
              <w:rPr>
                <w:rFonts w:ascii="Arial" w:hAnsi="Arial" w:cs="Arial"/>
                <w:b/>
                <w:bCs/>
                <w:sz w:val="18"/>
                <w:szCs w:val="18"/>
              </w:rPr>
              <w:t>Principaux déposant de brevets publiés en France en 2017</w:t>
            </w:r>
          </w:p>
        </w:tc>
      </w:tr>
      <w:tr w:rsidR="00D415C0" w:rsidRPr="009C6698" w14:paraId="26D3F056" w14:textId="77777777" w:rsidTr="00D415C0">
        <w:tc>
          <w:tcPr>
            <w:tcW w:w="704" w:type="dxa"/>
          </w:tcPr>
          <w:p w14:paraId="501AA030" w14:textId="2C4F1AF1" w:rsidR="00D415C0"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Rang</w:t>
            </w:r>
          </w:p>
        </w:tc>
        <w:tc>
          <w:tcPr>
            <w:tcW w:w="5670" w:type="dxa"/>
          </w:tcPr>
          <w:p w14:paraId="28801F24" w14:textId="5667B96A" w:rsidR="00D415C0" w:rsidRPr="009C6698" w:rsidRDefault="00D415C0" w:rsidP="00C83C1A">
            <w:pPr>
              <w:pStyle w:val="NormalWeb"/>
              <w:spacing w:before="0" w:beforeAutospacing="0" w:after="0" w:afterAutospacing="0"/>
              <w:jc w:val="both"/>
              <w:rPr>
                <w:rFonts w:ascii="Arial" w:hAnsi="Arial" w:cs="Arial"/>
                <w:bCs/>
                <w:sz w:val="18"/>
                <w:szCs w:val="18"/>
              </w:rPr>
            </w:pPr>
          </w:p>
        </w:tc>
        <w:tc>
          <w:tcPr>
            <w:tcW w:w="2688" w:type="dxa"/>
          </w:tcPr>
          <w:p w14:paraId="5637696A" w14:textId="21388295" w:rsidR="00D415C0"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Nombre de brevets publiés</w:t>
            </w:r>
          </w:p>
        </w:tc>
      </w:tr>
      <w:tr w:rsidR="00390BAF" w:rsidRPr="009C6698" w14:paraId="2B88A662" w14:textId="77777777" w:rsidTr="00D415C0">
        <w:tc>
          <w:tcPr>
            <w:tcW w:w="704" w:type="dxa"/>
            <w:vAlign w:val="center"/>
          </w:tcPr>
          <w:p w14:paraId="4BB46B40" w14:textId="4F954AA5" w:rsidR="00390BAF" w:rsidRPr="009C6698" w:rsidRDefault="00D415C0" w:rsidP="00D415C0">
            <w:pPr>
              <w:pStyle w:val="NormalWeb"/>
              <w:spacing w:before="0" w:beforeAutospacing="0" w:after="0" w:afterAutospacing="0"/>
              <w:jc w:val="center"/>
              <w:rPr>
                <w:rFonts w:ascii="Arial" w:hAnsi="Arial" w:cs="Arial"/>
                <w:bCs/>
                <w:sz w:val="18"/>
                <w:szCs w:val="18"/>
              </w:rPr>
            </w:pPr>
            <w:r w:rsidRPr="009C6698">
              <w:rPr>
                <w:rFonts w:ascii="Arial" w:hAnsi="Arial" w:cs="Arial"/>
                <w:bCs/>
                <w:sz w:val="18"/>
                <w:szCs w:val="18"/>
              </w:rPr>
              <w:t>1</w:t>
            </w:r>
          </w:p>
        </w:tc>
        <w:tc>
          <w:tcPr>
            <w:tcW w:w="5670" w:type="dxa"/>
          </w:tcPr>
          <w:p w14:paraId="638362F8" w14:textId="673A4312" w:rsidR="00390BAF"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Groupe Valeo (équipementier automobile)</w:t>
            </w:r>
          </w:p>
        </w:tc>
        <w:tc>
          <w:tcPr>
            <w:tcW w:w="2688" w:type="dxa"/>
            <w:vAlign w:val="center"/>
          </w:tcPr>
          <w:p w14:paraId="4278B370" w14:textId="34591D22" w:rsidR="00390BAF" w:rsidRPr="009C6698" w:rsidRDefault="00D415C0" w:rsidP="00D415C0">
            <w:pPr>
              <w:pStyle w:val="NormalWeb"/>
              <w:tabs>
                <w:tab w:val="left" w:pos="1743"/>
              </w:tabs>
              <w:spacing w:before="0" w:beforeAutospacing="0" w:after="0" w:afterAutospacing="0"/>
              <w:jc w:val="center"/>
              <w:rPr>
                <w:rFonts w:ascii="Arial" w:hAnsi="Arial" w:cs="Arial"/>
                <w:bCs/>
                <w:sz w:val="18"/>
                <w:szCs w:val="18"/>
              </w:rPr>
            </w:pPr>
            <w:r w:rsidRPr="009C6698">
              <w:rPr>
                <w:rFonts w:ascii="Arial" w:hAnsi="Arial" w:cs="Arial"/>
                <w:bCs/>
                <w:sz w:val="18"/>
                <w:szCs w:val="18"/>
              </w:rPr>
              <w:t>1 110</w:t>
            </w:r>
          </w:p>
        </w:tc>
      </w:tr>
      <w:tr w:rsidR="00390BAF" w:rsidRPr="009C6698" w14:paraId="2D18B191" w14:textId="77777777" w:rsidTr="00D415C0">
        <w:tc>
          <w:tcPr>
            <w:tcW w:w="704" w:type="dxa"/>
            <w:vAlign w:val="center"/>
          </w:tcPr>
          <w:p w14:paraId="3463B726" w14:textId="2D5D68D2" w:rsidR="00390BAF" w:rsidRPr="009C6698" w:rsidRDefault="00D415C0" w:rsidP="00D415C0">
            <w:pPr>
              <w:pStyle w:val="NormalWeb"/>
              <w:spacing w:before="0" w:beforeAutospacing="0" w:after="0" w:afterAutospacing="0"/>
              <w:jc w:val="center"/>
              <w:rPr>
                <w:rFonts w:ascii="Arial" w:hAnsi="Arial" w:cs="Arial"/>
                <w:bCs/>
                <w:sz w:val="18"/>
                <w:szCs w:val="18"/>
              </w:rPr>
            </w:pPr>
            <w:r w:rsidRPr="009C6698">
              <w:rPr>
                <w:rFonts w:ascii="Arial" w:hAnsi="Arial" w:cs="Arial"/>
                <w:bCs/>
                <w:sz w:val="18"/>
                <w:szCs w:val="18"/>
              </w:rPr>
              <w:t>2</w:t>
            </w:r>
          </w:p>
        </w:tc>
        <w:tc>
          <w:tcPr>
            <w:tcW w:w="5670" w:type="dxa"/>
          </w:tcPr>
          <w:p w14:paraId="7075F376" w14:textId="611A439A" w:rsidR="00390BAF"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Groupe PSA (Peugeot Citroën)</w:t>
            </w:r>
          </w:p>
        </w:tc>
        <w:tc>
          <w:tcPr>
            <w:tcW w:w="2688" w:type="dxa"/>
            <w:vAlign w:val="center"/>
          </w:tcPr>
          <w:p w14:paraId="7809DAB8" w14:textId="0FD544C7" w:rsidR="00390BAF" w:rsidRPr="009C6698" w:rsidRDefault="00D415C0" w:rsidP="00D415C0">
            <w:pPr>
              <w:pStyle w:val="NormalWeb"/>
              <w:tabs>
                <w:tab w:val="left" w:pos="1743"/>
              </w:tabs>
              <w:spacing w:before="0" w:beforeAutospacing="0" w:after="0" w:afterAutospacing="0"/>
              <w:jc w:val="center"/>
              <w:rPr>
                <w:rFonts w:ascii="Arial" w:hAnsi="Arial" w:cs="Arial"/>
                <w:bCs/>
                <w:sz w:val="18"/>
                <w:szCs w:val="18"/>
              </w:rPr>
            </w:pPr>
            <w:r w:rsidRPr="009C6698">
              <w:rPr>
                <w:rFonts w:ascii="Arial" w:hAnsi="Arial" w:cs="Arial"/>
                <w:bCs/>
                <w:sz w:val="18"/>
                <w:szCs w:val="18"/>
              </w:rPr>
              <w:t>1 021</w:t>
            </w:r>
          </w:p>
        </w:tc>
      </w:tr>
      <w:tr w:rsidR="00390BAF" w:rsidRPr="009C6698" w14:paraId="784695C1" w14:textId="77777777" w:rsidTr="00D415C0">
        <w:tc>
          <w:tcPr>
            <w:tcW w:w="704" w:type="dxa"/>
            <w:vAlign w:val="center"/>
          </w:tcPr>
          <w:p w14:paraId="2760D0BC" w14:textId="738B01B3" w:rsidR="00390BAF" w:rsidRPr="009C6698" w:rsidRDefault="00D415C0" w:rsidP="00D415C0">
            <w:pPr>
              <w:pStyle w:val="NormalWeb"/>
              <w:spacing w:before="0" w:beforeAutospacing="0" w:after="0" w:afterAutospacing="0"/>
              <w:jc w:val="center"/>
              <w:rPr>
                <w:rFonts w:ascii="Arial" w:hAnsi="Arial" w:cs="Arial"/>
                <w:bCs/>
                <w:sz w:val="18"/>
                <w:szCs w:val="18"/>
              </w:rPr>
            </w:pPr>
            <w:r w:rsidRPr="009C6698">
              <w:rPr>
                <w:rFonts w:ascii="Arial" w:hAnsi="Arial" w:cs="Arial"/>
                <w:bCs/>
                <w:sz w:val="18"/>
                <w:szCs w:val="18"/>
              </w:rPr>
              <w:t>3</w:t>
            </w:r>
          </w:p>
        </w:tc>
        <w:tc>
          <w:tcPr>
            <w:tcW w:w="5670" w:type="dxa"/>
          </w:tcPr>
          <w:p w14:paraId="48347398" w14:textId="7C471A60" w:rsidR="00390BAF"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Safran (industriel aéronautique, espace, défense)</w:t>
            </w:r>
          </w:p>
        </w:tc>
        <w:tc>
          <w:tcPr>
            <w:tcW w:w="2688" w:type="dxa"/>
            <w:vAlign w:val="center"/>
          </w:tcPr>
          <w:p w14:paraId="1F436A02" w14:textId="1C0C2B4D" w:rsidR="00390BAF" w:rsidRPr="009C6698" w:rsidRDefault="00D415C0" w:rsidP="00D415C0">
            <w:pPr>
              <w:pStyle w:val="NormalWeb"/>
              <w:tabs>
                <w:tab w:val="left" w:pos="1743"/>
              </w:tabs>
              <w:spacing w:before="0" w:beforeAutospacing="0" w:after="0" w:afterAutospacing="0"/>
              <w:jc w:val="center"/>
              <w:rPr>
                <w:rFonts w:ascii="Arial" w:hAnsi="Arial" w:cs="Arial"/>
                <w:bCs/>
                <w:sz w:val="18"/>
                <w:szCs w:val="18"/>
              </w:rPr>
            </w:pPr>
            <w:r w:rsidRPr="009C6698">
              <w:rPr>
                <w:rFonts w:ascii="Arial" w:hAnsi="Arial" w:cs="Arial"/>
                <w:bCs/>
                <w:sz w:val="18"/>
                <w:szCs w:val="18"/>
              </w:rPr>
              <w:t>795</w:t>
            </w:r>
          </w:p>
        </w:tc>
      </w:tr>
      <w:tr w:rsidR="00390BAF" w:rsidRPr="009C6698" w14:paraId="2109845A" w14:textId="77777777" w:rsidTr="00D415C0">
        <w:tc>
          <w:tcPr>
            <w:tcW w:w="704" w:type="dxa"/>
            <w:vAlign w:val="center"/>
          </w:tcPr>
          <w:p w14:paraId="46EC14CF" w14:textId="36CD1FD2" w:rsidR="00390BAF" w:rsidRPr="009C6698" w:rsidRDefault="00D415C0" w:rsidP="00D415C0">
            <w:pPr>
              <w:pStyle w:val="NormalWeb"/>
              <w:spacing w:before="0" w:beforeAutospacing="0" w:after="0" w:afterAutospacing="0"/>
              <w:jc w:val="center"/>
              <w:rPr>
                <w:rFonts w:ascii="Arial" w:hAnsi="Arial" w:cs="Arial"/>
                <w:bCs/>
                <w:sz w:val="18"/>
                <w:szCs w:val="18"/>
              </w:rPr>
            </w:pPr>
            <w:r w:rsidRPr="009C6698">
              <w:rPr>
                <w:rFonts w:ascii="Arial" w:hAnsi="Arial" w:cs="Arial"/>
                <w:bCs/>
                <w:sz w:val="18"/>
                <w:szCs w:val="18"/>
              </w:rPr>
              <w:t>4</w:t>
            </w:r>
          </w:p>
        </w:tc>
        <w:tc>
          <w:tcPr>
            <w:tcW w:w="5670" w:type="dxa"/>
          </w:tcPr>
          <w:p w14:paraId="69E7213D" w14:textId="09295649" w:rsidR="00390BAF"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CEA (énergie atomique)</w:t>
            </w:r>
          </w:p>
        </w:tc>
        <w:tc>
          <w:tcPr>
            <w:tcW w:w="2688" w:type="dxa"/>
            <w:vAlign w:val="center"/>
          </w:tcPr>
          <w:p w14:paraId="62F30B68" w14:textId="7C05957B" w:rsidR="00390BAF" w:rsidRPr="009C6698" w:rsidRDefault="00D415C0" w:rsidP="00D415C0">
            <w:pPr>
              <w:pStyle w:val="NormalWeb"/>
              <w:tabs>
                <w:tab w:val="left" w:pos="1743"/>
              </w:tabs>
              <w:spacing w:before="0" w:beforeAutospacing="0" w:after="0" w:afterAutospacing="0"/>
              <w:jc w:val="center"/>
              <w:rPr>
                <w:rFonts w:ascii="Arial" w:hAnsi="Arial" w:cs="Arial"/>
                <w:bCs/>
                <w:sz w:val="18"/>
                <w:szCs w:val="18"/>
              </w:rPr>
            </w:pPr>
            <w:r w:rsidRPr="009C6698">
              <w:rPr>
                <w:rFonts w:ascii="Arial" w:hAnsi="Arial" w:cs="Arial"/>
                <w:bCs/>
                <w:sz w:val="18"/>
                <w:szCs w:val="18"/>
              </w:rPr>
              <w:t>684</w:t>
            </w:r>
          </w:p>
        </w:tc>
      </w:tr>
      <w:tr w:rsidR="00390BAF" w:rsidRPr="009C6698" w14:paraId="721D9083" w14:textId="77777777" w:rsidTr="00D415C0">
        <w:tc>
          <w:tcPr>
            <w:tcW w:w="704" w:type="dxa"/>
            <w:vAlign w:val="center"/>
          </w:tcPr>
          <w:p w14:paraId="052735EF" w14:textId="764A956D" w:rsidR="00390BAF" w:rsidRPr="009C6698" w:rsidRDefault="00D415C0" w:rsidP="00D415C0">
            <w:pPr>
              <w:pStyle w:val="NormalWeb"/>
              <w:spacing w:before="0" w:beforeAutospacing="0" w:after="0" w:afterAutospacing="0"/>
              <w:jc w:val="center"/>
              <w:rPr>
                <w:rFonts w:ascii="Arial" w:hAnsi="Arial" w:cs="Arial"/>
                <w:bCs/>
                <w:sz w:val="18"/>
                <w:szCs w:val="18"/>
              </w:rPr>
            </w:pPr>
            <w:r w:rsidRPr="009C6698">
              <w:rPr>
                <w:rFonts w:ascii="Arial" w:hAnsi="Arial" w:cs="Arial"/>
                <w:bCs/>
                <w:sz w:val="18"/>
                <w:szCs w:val="18"/>
              </w:rPr>
              <w:t>5</w:t>
            </w:r>
          </w:p>
        </w:tc>
        <w:tc>
          <w:tcPr>
            <w:tcW w:w="5670" w:type="dxa"/>
          </w:tcPr>
          <w:p w14:paraId="4C4CBF01" w14:textId="30DE4FB0" w:rsidR="00390BAF" w:rsidRPr="009C6698" w:rsidRDefault="00D415C0" w:rsidP="00C83C1A">
            <w:pPr>
              <w:pStyle w:val="NormalWeb"/>
              <w:spacing w:before="0" w:beforeAutospacing="0" w:after="0" w:afterAutospacing="0"/>
              <w:jc w:val="both"/>
              <w:rPr>
                <w:rFonts w:ascii="Arial" w:hAnsi="Arial" w:cs="Arial"/>
                <w:bCs/>
                <w:sz w:val="18"/>
                <w:szCs w:val="18"/>
              </w:rPr>
            </w:pPr>
            <w:r w:rsidRPr="009C6698">
              <w:rPr>
                <w:rFonts w:ascii="Arial" w:hAnsi="Arial" w:cs="Arial"/>
                <w:bCs/>
                <w:sz w:val="18"/>
                <w:szCs w:val="18"/>
              </w:rPr>
              <w:t>CNRS (centre national de la recherche scientifique)</w:t>
            </w:r>
          </w:p>
        </w:tc>
        <w:tc>
          <w:tcPr>
            <w:tcW w:w="2688" w:type="dxa"/>
            <w:vAlign w:val="center"/>
          </w:tcPr>
          <w:p w14:paraId="37487782" w14:textId="39C18C65" w:rsidR="00390BAF" w:rsidRPr="009C6698" w:rsidRDefault="00D415C0" w:rsidP="00D415C0">
            <w:pPr>
              <w:pStyle w:val="NormalWeb"/>
              <w:tabs>
                <w:tab w:val="left" w:pos="1743"/>
              </w:tabs>
              <w:spacing w:before="0" w:beforeAutospacing="0" w:after="0" w:afterAutospacing="0"/>
              <w:jc w:val="center"/>
              <w:rPr>
                <w:rFonts w:ascii="Arial" w:hAnsi="Arial" w:cs="Arial"/>
                <w:bCs/>
                <w:sz w:val="18"/>
                <w:szCs w:val="18"/>
              </w:rPr>
            </w:pPr>
            <w:r w:rsidRPr="009C6698">
              <w:rPr>
                <w:rFonts w:ascii="Arial" w:hAnsi="Arial" w:cs="Arial"/>
                <w:bCs/>
                <w:sz w:val="18"/>
                <w:szCs w:val="18"/>
              </w:rPr>
              <w:t>405</w:t>
            </w:r>
          </w:p>
        </w:tc>
      </w:tr>
    </w:tbl>
    <w:p w14:paraId="60DD350F" w14:textId="77777777" w:rsidR="009C6698" w:rsidRPr="009C6698" w:rsidRDefault="009C6698" w:rsidP="00A606A8">
      <w:pPr>
        <w:pStyle w:val="NormalWeb"/>
        <w:shd w:val="clear" w:color="auto" w:fill="FFFFFF"/>
        <w:spacing w:before="0" w:beforeAutospacing="0" w:after="0" w:afterAutospacing="0"/>
        <w:jc w:val="center"/>
        <w:rPr>
          <w:rFonts w:ascii="Arial" w:hAnsi="Arial" w:cs="Arial"/>
          <w:bCs/>
          <w:sz w:val="16"/>
          <w:szCs w:val="16"/>
        </w:rPr>
      </w:pPr>
    </w:p>
    <w:p w14:paraId="5AECFC5D" w14:textId="17BDBD24" w:rsidR="009C6698" w:rsidRDefault="009C6698" w:rsidP="00A606A8">
      <w:pPr>
        <w:pStyle w:val="NormalWeb"/>
        <w:shd w:val="clear" w:color="auto" w:fill="FFFFFF"/>
        <w:spacing w:before="0" w:beforeAutospacing="0" w:after="0" w:afterAutospacing="0"/>
        <w:jc w:val="center"/>
        <w:rPr>
          <w:rFonts w:ascii="Arial" w:hAnsi="Arial" w:cs="Arial"/>
          <w:bCs/>
        </w:rPr>
      </w:pPr>
      <w:r>
        <w:rPr>
          <w:noProof/>
        </w:rPr>
        <w:drawing>
          <wp:inline distT="0" distB="0" distL="0" distR="0" wp14:anchorId="1A7CABF0" wp14:editId="1E82B746">
            <wp:extent cx="3810000" cy="14478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0DD735" w14:textId="77777777" w:rsidR="009C6698" w:rsidRPr="009C6698" w:rsidRDefault="009C6698" w:rsidP="00A606A8">
      <w:pPr>
        <w:pStyle w:val="NormalWeb"/>
        <w:shd w:val="clear" w:color="auto" w:fill="FFFFFF"/>
        <w:spacing w:before="0" w:beforeAutospacing="0" w:after="0" w:afterAutospacing="0"/>
        <w:jc w:val="center"/>
        <w:rPr>
          <w:rFonts w:ascii="Arial" w:hAnsi="Arial" w:cs="Arial"/>
          <w:bCs/>
          <w:sz w:val="16"/>
          <w:szCs w:val="16"/>
        </w:rPr>
      </w:pPr>
    </w:p>
    <w:p w14:paraId="4F19FD97" w14:textId="0E646AF0" w:rsidR="003D6616" w:rsidRPr="00FD18EF" w:rsidRDefault="003D6616" w:rsidP="00C83C1A">
      <w:pPr>
        <w:pStyle w:val="NormalWeb"/>
        <w:shd w:val="clear" w:color="auto" w:fill="FFFFFF"/>
        <w:spacing w:before="0" w:beforeAutospacing="0" w:after="0" w:afterAutospacing="0"/>
        <w:jc w:val="right"/>
        <w:rPr>
          <w:rFonts w:ascii="Arial" w:hAnsi="Arial" w:cs="Arial"/>
          <w:i/>
        </w:rPr>
      </w:pPr>
      <w:r w:rsidRPr="00FD18EF">
        <w:rPr>
          <w:rFonts w:ascii="Arial" w:hAnsi="Arial" w:cs="Arial"/>
          <w:i/>
        </w:rPr>
        <w:t>Source :</w:t>
      </w:r>
      <w:r w:rsidR="009C6698">
        <w:rPr>
          <w:rFonts w:ascii="Arial" w:hAnsi="Arial" w:cs="Arial"/>
          <w:i/>
        </w:rPr>
        <w:t xml:space="preserve"> données INPI, dans</w:t>
      </w:r>
      <w:r w:rsidRPr="00FD18EF">
        <w:rPr>
          <w:rFonts w:ascii="Arial" w:hAnsi="Arial" w:cs="Arial"/>
          <w:i/>
        </w:rPr>
        <w:t xml:space="preserve"> Insee – Tableaux de l’économie française – mars 2019</w:t>
      </w:r>
      <w:r w:rsidR="00FD18EF">
        <w:rPr>
          <w:rFonts w:ascii="Arial" w:hAnsi="Arial" w:cs="Arial"/>
          <w:i/>
        </w:rPr>
        <w:t>.</w:t>
      </w:r>
    </w:p>
    <w:p w14:paraId="3E413CA4" w14:textId="77777777" w:rsidR="00993194" w:rsidRPr="009C6698" w:rsidRDefault="00993194" w:rsidP="009C6698">
      <w:pPr>
        <w:pStyle w:val="NormalWeb"/>
        <w:shd w:val="clear" w:color="auto" w:fill="FFFFFF"/>
        <w:spacing w:before="0" w:beforeAutospacing="0" w:after="0" w:afterAutospacing="0"/>
        <w:jc w:val="both"/>
        <w:rPr>
          <w:rFonts w:ascii="Arial" w:hAnsi="Arial" w:cs="Arial"/>
          <w:bCs/>
        </w:rPr>
      </w:pPr>
    </w:p>
    <w:p w14:paraId="228AE9F5" w14:textId="06039ECC" w:rsidR="00867688" w:rsidRPr="009C1313" w:rsidRDefault="00DD64EB" w:rsidP="00C83C1A">
      <w:pPr>
        <w:pStyle w:val="NormalWeb"/>
        <w:spacing w:before="0" w:beforeAutospacing="0" w:after="0" w:afterAutospacing="0"/>
        <w:textAlignment w:val="baseline"/>
        <w:rPr>
          <w:rFonts w:ascii="Arial" w:hAnsi="Arial" w:cs="Arial"/>
          <w:b/>
          <w:bCs/>
          <w:color w:val="333333"/>
        </w:rPr>
      </w:pPr>
      <w:r w:rsidRPr="009C1313">
        <w:rPr>
          <w:rFonts w:ascii="Arial" w:hAnsi="Arial" w:cs="Arial"/>
          <w:b/>
          <w:bCs/>
          <w:color w:val="333333"/>
        </w:rPr>
        <w:t xml:space="preserve">Annexe </w:t>
      </w:r>
      <w:r w:rsidR="00A727F0">
        <w:rPr>
          <w:rFonts w:ascii="Arial" w:hAnsi="Arial" w:cs="Arial"/>
          <w:b/>
          <w:bCs/>
          <w:color w:val="333333"/>
        </w:rPr>
        <w:t>6</w:t>
      </w:r>
      <w:r w:rsidRPr="009C1313">
        <w:rPr>
          <w:rFonts w:ascii="Arial" w:hAnsi="Arial" w:cs="Arial"/>
          <w:b/>
          <w:bCs/>
          <w:color w:val="333333"/>
        </w:rPr>
        <w:t> : L’enjeu de la concurrence</w:t>
      </w:r>
      <w:r w:rsidR="00A727F0">
        <w:rPr>
          <w:rFonts w:ascii="Arial" w:hAnsi="Arial" w:cs="Arial"/>
          <w:b/>
          <w:bCs/>
          <w:color w:val="333333"/>
        </w:rPr>
        <w:t>.</w:t>
      </w:r>
    </w:p>
    <w:p w14:paraId="05CBDD62" w14:textId="77777777" w:rsidR="00FE7932" w:rsidRPr="00E41A1B" w:rsidRDefault="00FE7932" w:rsidP="00C83C1A">
      <w:pPr>
        <w:shd w:val="clear" w:color="auto" w:fill="FFFFFF"/>
        <w:spacing w:after="0" w:line="240" w:lineRule="auto"/>
        <w:jc w:val="both"/>
        <w:rPr>
          <w:rFonts w:ascii="Arial" w:eastAsia="Times New Roman" w:hAnsi="Arial" w:cs="Arial"/>
          <w:sz w:val="24"/>
          <w:szCs w:val="24"/>
          <w:lang w:eastAsia="fr-FR"/>
        </w:rPr>
      </w:pPr>
    </w:p>
    <w:p w14:paraId="25FE153D" w14:textId="28BB05E3" w:rsidR="00DD64EB" w:rsidRPr="00E41A1B" w:rsidRDefault="00DD64EB" w:rsidP="00C83C1A">
      <w:pPr>
        <w:shd w:val="clear" w:color="auto" w:fill="FFFFFF"/>
        <w:spacing w:after="0" w:line="240" w:lineRule="auto"/>
        <w:jc w:val="both"/>
        <w:rPr>
          <w:rFonts w:ascii="Arial" w:eastAsia="Times New Roman" w:hAnsi="Arial" w:cs="Arial"/>
          <w:sz w:val="24"/>
          <w:szCs w:val="24"/>
          <w:lang w:eastAsia="fr-FR"/>
        </w:rPr>
      </w:pPr>
      <w:r w:rsidRPr="00E41A1B">
        <w:rPr>
          <w:rFonts w:ascii="Arial" w:eastAsia="Times New Roman" w:hAnsi="Arial" w:cs="Arial"/>
          <w:sz w:val="24"/>
          <w:szCs w:val="24"/>
          <w:lang w:eastAsia="fr-FR"/>
        </w:rPr>
        <w:t xml:space="preserve">Le degré de concurrence sur les marchés est un paramètre tout à fait fondamental du bon fonctionnement de l’économie. </w:t>
      </w:r>
      <w:r w:rsidR="00B0531D" w:rsidRPr="00E41A1B">
        <w:rPr>
          <w:rFonts w:ascii="Arial" w:eastAsia="Times New Roman" w:hAnsi="Arial" w:cs="Arial"/>
          <w:sz w:val="24"/>
          <w:szCs w:val="24"/>
          <w:lang w:eastAsia="fr-FR"/>
        </w:rPr>
        <w:t>[…]</w:t>
      </w:r>
      <w:r w:rsidRPr="00E41A1B">
        <w:rPr>
          <w:rFonts w:ascii="Arial" w:eastAsia="Times New Roman" w:hAnsi="Arial" w:cs="Arial"/>
          <w:sz w:val="24"/>
          <w:szCs w:val="24"/>
          <w:lang w:eastAsia="fr-FR"/>
        </w:rPr>
        <w:t xml:space="preserve"> L’approche comparative montre que la </w:t>
      </w:r>
      <w:r w:rsidRPr="00E41A1B">
        <w:rPr>
          <w:rFonts w:ascii="Arial" w:eastAsia="Times New Roman" w:hAnsi="Arial" w:cs="Arial"/>
          <w:sz w:val="24"/>
          <w:szCs w:val="24"/>
          <w:lang w:eastAsia="fr-FR"/>
        </w:rPr>
        <w:lastRenderedPageBreak/>
        <w:t>France souffre, dans certains services, d’un déficit de concurrence, ayant conduit à des hausses des prix conséquentes. L’action publique peut aider à faire baisser le niveau des prix dans ces secteurs et réduire les éventuelles situations de rente au bénéfice du pouvoir d’achat, de la croissance et de l’emploi.</w:t>
      </w:r>
      <w:r w:rsidR="009C1313" w:rsidRPr="00E41A1B">
        <w:rPr>
          <w:rFonts w:ascii="Arial" w:eastAsia="Times New Roman" w:hAnsi="Arial" w:cs="Arial"/>
          <w:sz w:val="24"/>
          <w:szCs w:val="24"/>
          <w:lang w:eastAsia="fr-FR"/>
        </w:rPr>
        <w:t xml:space="preserve"> […] </w:t>
      </w:r>
      <w:r w:rsidRPr="00E41A1B">
        <w:rPr>
          <w:rFonts w:ascii="Arial" w:eastAsia="Times New Roman" w:hAnsi="Arial" w:cs="Arial"/>
          <w:sz w:val="24"/>
          <w:szCs w:val="24"/>
          <w:lang w:eastAsia="fr-FR"/>
        </w:rPr>
        <w:t xml:space="preserve">L’amélioration des conditions de concurrence constitue un outil de politique économique, qui traduit en termes concrets les principes de liberté du commerce et de liberté d’entreprendre. Elle peut conduire à la baisse des coûts et des prix, à l’amélioration de la qualité et de la variété de la production et, dans certains cas, à un surcroît d’innovation. Elle nécessite un encadrement par la puissance publique, qu’exercent notamment des autorités de la concurrence. </w:t>
      </w:r>
    </w:p>
    <w:p w14:paraId="7932F2CF" w14:textId="77777777" w:rsidR="00FE7932" w:rsidRPr="00E41A1B" w:rsidRDefault="00FE7932" w:rsidP="00C83C1A">
      <w:pPr>
        <w:shd w:val="clear" w:color="auto" w:fill="FFFFFF"/>
        <w:spacing w:after="0" w:line="240" w:lineRule="auto"/>
        <w:jc w:val="both"/>
        <w:rPr>
          <w:rFonts w:ascii="Arial" w:eastAsia="Times New Roman" w:hAnsi="Arial" w:cs="Arial"/>
          <w:sz w:val="16"/>
          <w:szCs w:val="16"/>
          <w:lang w:eastAsia="fr-FR"/>
        </w:rPr>
      </w:pPr>
    </w:p>
    <w:p w14:paraId="425CADD5" w14:textId="25C480ED" w:rsidR="009C1313" w:rsidRPr="00E41A1B" w:rsidRDefault="009C1313" w:rsidP="00C83C1A">
      <w:pPr>
        <w:shd w:val="clear" w:color="auto" w:fill="FFFFFF"/>
        <w:spacing w:after="0" w:line="240" w:lineRule="auto"/>
        <w:jc w:val="right"/>
        <w:rPr>
          <w:rFonts w:ascii="Arial" w:eastAsia="Times New Roman" w:hAnsi="Arial" w:cs="Arial"/>
          <w:i/>
          <w:sz w:val="24"/>
          <w:szCs w:val="24"/>
          <w:lang w:eastAsia="fr-FR"/>
        </w:rPr>
      </w:pPr>
      <w:r w:rsidRPr="00E41A1B">
        <w:rPr>
          <w:rFonts w:ascii="Arial" w:eastAsia="Times New Roman" w:hAnsi="Arial" w:cs="Arial"/>
          <w:i/>
          <w:sz w:val="24"/>
          <w:szCs w:val="24"/>
          <w:lang w:eastAsia="fr-FR"/>
        </w:rPr>
        <w:t>Source :</w:t>
      </w:r>
      <w:r w:rsidR="00FE7932" w:rsidRPr="00E41A1B">
        <w:rPr>
          <w:rFonts w:ascii="Arial" w:eastAsia="Times New Roman" w:hAnsi="Arial" w:cs="Arial"/>
          <w:i/>
          <w:sz w:val="24"/>
          <w:szCs w:val="24"/>
          <w:lang w:eastAsia="fr-FR"/>
        </w:rPr>
        <w:t xml:space="preserve"> L’enjeu de la concurrence en France, France Stratégie, 30 janvier 2017.</w:t>
      </w:r>
    </w:p>
    <w:p w14:paraId="59DB65B4" w14:textId="58BBCAC2" w:rsidR="00C547BD" w:rsidRDefault="00C547BD">
      <w:pPr>
        <w:rPr>
          <w:rFonts w:ascii="Arial" w:hAnsi="Arial" w:cs="Arial"/>
          <w:sz w:val="24"/>
          <w:szCs w:val="24"/>
        </w:rPr>
      </w:pPr>
      <w:r>
        <w:rPr>
          <w:rFonts w:ascii="Arial" w:hAnsi="Arial" w:cs="Arial"/>
          <w:sz w:val="24"/>
          <w:szCs w:val="24"/>
        </w:rPr>
        <w:br w:type="page"/>
      </w:r>
    </w:p>
    <w:p w14:paraId="3FDBA478" w14:textId="77777777" w:rsidR="009A4628" w:rsidRPr="009A4628" w:rsidRDefault="009A4628" w:rsidP="008B3ACB">
      <w:pPr>
        <w:spacing w:after="0" w:line="240" w:lineRule="auto"/>
        <w:jc w:val="both"/>
        <w:rPr>
          <w:rFonts w:ascii="Arial" w:eastAsia="Times New Roman" w:hAnsi="Arial" w:cs="Arial"/>
          <w:b/>
          <w:sz w:val="24"/>
          <w:szCs w:val="24"/>
          <w:u w:val="single"/>
          <w:lang w:eastAsia="fr-FR"/>
        </w:rPr>
      </w:pPr>
      <w:r w:rsidRPr="009A4628">
        <w:rPr>
          <w:rFonts w:ascii="Arial" w:eastAsia="Times New Roman" w:hAnsi="Arial" w:cs="Arial"/>
          <w:b/>
          <w:sz w:val="24"/>
          <w:szCs w:val="24"/>
          <w:u w:val="single"/>
          <w:lang w:eastAsia="fr-FR"/>
        </w:rPr>
        <w:lastRenderedPageBreak/>
        <w:t xml:space="preserve">ÉCONOMIE Proposition de corrigé </w:t>
      </w:r>
      <w:r w:rsidRPr="009A4628">
        <w:rPr>
          <w:rFonts w:ascii="Arial" w:eastAsia="Times New Roman" w:hAnsi="Arial" w:cs="Arial"/>
          <w:b/>
          <w:sz w:val="24"/>
          <w:szCs w:val="24"/>
          <w:lang w:eastAsia="fr-FR"/>
        </w:rPr>
        <w:t>(10 points)</w:t>
      </w:r>
    </w:p>
    <w:p w14:paraId="68415E1E" w14:textId="77777777" w:rsidR="009A4628" w:rsidRPr="009A4628" w:rsidRDefault="009A4628" w:rsidP="008B3ACB">
      <w:pPr>
        <w:spacing w:after="0" w:line="240" w:lineRule="auto"/>
        <w:jc w:val="both"/>
        <w:rPr>
          <w:rFonts w:ascii="Arial" w:eastAsia="Times New Roman" w:hAnsi="Arial" w:cs="Arial"/>
          <w:b/>
          <w:sz w:val="24"/>
          <w:szCs w:val="24"/>
          <w:lang w:eastAsia="fr-FR"/>
        </w:rPr>
      </w:pPr>
    </w:p>
    <w:p w14:paraId="2EC48C87" w14:textId="77777777" w:rsidR="009A4628" w:rsidRPr="009A4628" w:rsidRDefault="009A4628" w:rsidP="008B3ACB">
      <w:pPr>
        <w:spacing w:after="0" w:line="240" w:lineRule="auto"/>
        <w:jc w:val="both"/>
        <w:rPr>
          <w:rFonts w:ascii="Arial" w:eastAsia="Times New Roman" w:hAnsi="Arial" w:cs="Arial"/>
          <w:b/>
          <w:sz w:val="24"/>
          <w:szCs w:val="24"/>
          <w:lang w:eastAsia="fr-FR"/>
        </w:rPr>
      </w:pPr>
      <w:r w:rsidRPr="009A4628">
        <w:rPr>
          <w:rFonts w:ascii="Arial" w:eastAsia="Times New Roman" w:hAnsi="Arial" w:cs="Arial"/>
          <w:b/>
          <w:sz w:val="24"/>
          <w:szCs w:val="24"/>
          <w:lang w:eastAsia="fr-FR"/>
        </w:rPr>
        <w:t>Références au programme STMG Économie</w:t>
      </w:r>
    </w:p>
    <w:p w14:paraId="28BD7AC4" w14:textId="7F18C0C1" w:rsidR="009A4628" w:rsidRPr="00C20AAA" w:rsidRDefault="009A4628" w:rsidP="008B3ACB">
      <w:pPr>
        <w:spacing w:after="0" w:line="240" w:lineRule="auto"/>
        <w:jc w:val="both"/>
        <w:rPr>
          <w:rFonts w:ascii="Arial" w:hAnsi="Arial" w:cs="Arial"/>
          <w:sz w:val="20"/>
          <w:szCs w:val="20"/>
        </w:rPr>
      </w:pPr>
    </w:p>
    <w:p w14:paraId="73A79D07" w14:textId="605C62AE" w:rsidR="00C20AAA" w:rsidRPr="00C20AAA" w:rsidRDefault="00C20AAA" w:rsidP="008B3ACB">
      <w:pPr>
        <w:spacing w:after="0" w:line="240" w:lineRule="auto"/>
        <w:jc w:val="both"/>
        <w:rPr>
          <w:rFonts w:ascii="Arial" w:hAnsi="Arial" w:cs="Arial"/>
          <w:i/>
          <w:sz w:val="20"/>
          <w:szCs w:val="20"/>
        </w:rPr>
      </w:pPr>
      <w:r w:rsidRPr="00C20AAA">
        <w:rPr>
          <w:rFonts w:ascii="Arial" w:hAnsi="Arial" w:cs="Arial"/>
          <w:i/>
          <w:sz w:val="20"/>
          <w:szCs w:val="20"/>
        </w:rPr>
        <w:t>Ne sont exposés ci-dessous que les éléments du programme utiles aux réponses. La liste des notions et les contexte</w:t>
      </w:r>
      <w:r w:rsidR="00B65DBC">
        <w:rPr>
          <w:rFonts w:ascii="Arial" w:hAnsi="Arial" w:cs="Arial"/>
          <w:i/>
          <w:sz w:val="20"/>
          <w:szCs w:val="20"/>
        </w:rPr>
        <w:t>s</w:t>
      </w:r>
      <w:r w:rsidRPr="00C20AAA">
        <w:rPr>
          <w:rFonts w:ascii="Arial" w:hAnsi="Arial" w:cs="Arial"/>
          <w:i/>
          <w:sz w:val="20"/>
          <w:szCs w:val="20"/>
        </w:rPr>
        <w:t xml:space="preserve"> et finalités ne sont pas </w:t>
      </w:r>
      <w:r w:rsidR="00B65DBC">
        <w:rPr>
          <w:rFonts w:ascii="Arial" w:hAnsi="Arial" w:cs="Arial"/>
          <w:i/>
          <w:sz w:val="20"/>
          <w:szCs w:val="20"/>
        </w:rPr>
        <w:t>reproduits</w:t>
      </w:r>
      <w:r w:rsidRPr="00C20AAA">
        <w:rPr>
          <w:rFonts w:ascii="Arial" w:hAnsi="Arial" w:cs="Arial"/>
          <w:i/>
          <w:sz w:val="20"/>
          <w:szCs w:val="20"/>
        </w:rPr>
        <w:t xml:space="preserve"> dans leur intégralité.</w:t>
      </w:r>
    </w:p>
    <w:p w14:paraId="1EB77539" w14:textId="77777777" w:rsidR="00C20AAA" w:rsidRPr="00C20AAA" w:rsidRDefault="00C20AAA" w:rsidP="008B3ACB">
      <w:pPr>
        <w:spacing w:after="0" w:line="240" w:lineRule="auto"/>
        <w:jc w:val="both"/>
        <w:rPr>
          <w:rFonts w:ascii="Arial" w:hAnsi="Arial" w:cs="Arial"/>
          <w:sz w:val="20"/>
          <w:szCs w:val="20"/>
        </w:rPr>
      </w:pPr>
    </w:p>
    <w:p w14:paraId="01654FEC" w14:textId="39AAC5EC" w:rsidR="0001029F" w:rsidRDefault="0001029F" w:rsidP="008B3ACB">
      <w:pPr>
        <w:spacing w:after="0" w:line="240" w:lineRule="auto"/>
        <w:jc w:val="both"/>
        <w:rPr>
          <w:rFonts w:ascii="Arial" w:hAnsi="Arial" w:cs="Arial"/>
          <w:sz w:val="20"/>
          <w:szCs w:val="20"/>
          <w:u w:val="single"/>
        </w:rPr>
      </w:pPr>
      <w:r>
        <w:rPr>
          <w:rFonts w:ascii="Arial" w:hAnsi="Arial" w:cs="Arial"/>
          <w:sz w:val="20"/>
          <w:szCs w:val="20"/>
          <w:u w:val="single"/>
        </w:rPr>
        <w:t xml:space="preserve">Thème 3 (classe de première) : </w:t>
      </w:r>
      <w:r w:rsidRPr="0001029F">
        <w:rPr>
          <w:rFonts w:ascii="Arial" w:hAnsi="Arial" w:cs="Arial"/>
          <w:sz w:val="20"/>
          <w:szCs w:val="20"/>
          <w:u w:val="single"/>
        </w:rPr>
        <w:t>Comment les ménages décident-ils d’affecter leur revenu ?</w:t>
      </w:r>
    </w:p>
    <w:p w14:paraId="6777B218" w14:textId="73AFB529" w:rsidR="003E6F74" w:rsidRPr="00F12A38" w:rsidRDefault="00F12A38" w:rsidP="008B3ACB">
      <w:pPr>
        <w:spacing w:after="0" w:line="240" w:lineRule="auto"/>
        <w:jc w:val="both"/>
        <w:rPr>
          <w:rFonts w:ascii="Arial" w:hAnsi="Arial" w:cs="Arial"/>
          <w:sz w:val="20"/>
          <w:szCs w:val="20"/>
        </w:rPr>
      </w:pPr>
      <w:r>
        <w:rPr>
          <w:rFonts w:ascii="Arial" w:hAnsi="Arial" w:cs="Arial"/>
          <w:sz w:val="20"/>
          <w:szCs w:val="20"/>
        </w:rPr>
        <w:t>Aucune capacité de ce thème n’est questionnée, en revanche les notions sont utiles à la construction des réponses (notamment pour la question 4 d’argumentation).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971"/>
        <w:gridCol w:w="2971"/>
      </w:tblGrid>
      <w:tr w:rsidR="0001029F" w:rsidRPr="0001029F" w14:paraId="6E658AFD" w14:textId="77777777" w:rsidTr="0001029F">
        <w:trPr>
          <w:trHeight w:val="123"/>
        </w:trPr>
        <w:tc>
          <w:tcPr>
            <w:tcW w:w="2971" w:type="dxa"/>
          </w:tcPr>
          <w:p w14:paraId="13855227"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b/>
                <w:bCs/>
                <w:sz w:val="16"/>
                <w:szCs w:val="16"/>
              </w:rPr>
              <w:t xml:space="preserve">Thème </w:t>
            </w:r>
          </w:p>
        </w:tc>
        <w:tc>
          <w:tcPr>
            <w:tcW w:w="2971" w:type="dxa"/>
          </w:tcPr>
          <w:p w14:paraId="7CAD65C0"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b/>
                <w:bCs/>
                <w:sz w:val="16"/>
                <w:szCs w:val="16"/>
              </w:rPr>
              <w:t xml:space="preserve">Contexte et finalités </w:t>
            </w:r>
          </w:p>
        </w:tc>
        <w:tc>
          <w:tcPr>
            <w:tcW w:w="2971" w:type="dxa"/>
          </w:tcPr>
          <w:p w14:paraId="232570CF"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b/>
                <w:bCs/>
                <w:sz w:val="16"/>
                <w:szCs w:val="16"/>
              </w:rPr>
              <w:t xml:space="preserve">Notions </w:t>
            </w:r>
          </w:p>
        </w:tc>
      </w:tr>
      <w:tr w:rsidR="0001029F" w:rsidRPr="0001029F" w14:paraId="78B42ECF" w14:textId="77777777" w:rsidTr="0001029F">
        <w:trPr>
          <w:trHeight w:val="1078"/>
        </w:trPr>
        <w:tc>
          <w:tcPr>
            <w:tcW w:w="2971" w:type="dxa"/>
          </w:tcPr>
          <w:p w14:paraId="48920B4A"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b/>
                <w:bCs/>
                <w:sz w:val="16"/>
                <w:szCs w:val="16"/>
              </w:rPr>
              <w:t xml:space="preserve">III.1. L’arbitrage entre consommation et épargne </w:t>
            </w:r>
          </w:p>
        </w:tc>
        <w:tc>
          <w:tcPr>
            <w:tcW w:w="2971" w:type="dxa"/>
          </w:tcPr>
          <w:p w14:paraId="25C7E7A2" w14:textId="1CF6BDF3" w:rsidR="0001029F" w:rsidRP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 xml:space="preserve">Le revenu disponible des ménages est réparti entre consommation et épargne. </w:t>
            </w:r>
          </w:p>
          <w:p w14:paraId="45D21536" w14:textId="77777777" w:rsid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Le revenu disponible se répartit</w:t>
            </w:r>
            <w:r>
              <w:rPr>
                <w:rFonts w:ascii="Arial" w:hAnsi="Arial" w:cs="Arial"/>
                <w:sz w:val="16"/>
                <w:szCs w:val="16"/>
              </w:rPr>
              <w:t xml:space="preserve"> entre consommation et épargne.</w:t>
            </w:r>
          </w:p>
          <w:p w14:paraId="010DEBDA" w14:textId="4BCB0029" w:rsidR="0001029F" w:rsidRPr="0001029F" w:rsidRDefault="0001029F" w:rsidP="0001029F">
            <w:pPr>
              <w:spacing w:after="0" w:line="240" w:lineRule="auto"/>
              <w:jc w:val="both"/>
              <w:rPr>
                <w:rFonts w:ascii="Arial" w:hAnsi="Arial" w:cs="Arial"/>
                <w:sz w:val="16"/>
                <w:szCs w:val="16"/>
              </w:rPr>
            </w:pPr>
          </w:p>
        </w:tc>
        <w:tc>
          <w:tcPr>
            <w:tcW w:w="2971" w:type="dxa"/>
          </w:tcPr>
          <w:p w14:paraId="0E1DADF1" w14:textId="27849D2C" w:rsidR="0001029F" w:rsidRP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 xml:space="preserve">Les déterminants de la consommation. </w:t>
            </w:r>
          </w:p>
          <w:p w14:paraId="23A69C51"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 xml:space="preserve">La propension à consommer. </w:t>
            </w:r>
          </w:p>
          <w:p w14:paraId="0AD3C188" w14:textId="312DE4CE" w:rsidR="0001029F" w:rsidRPr="0001029F" w:rsidRDefault="0001029F" w:rsidP="0001029F">
            <w:pPr>
              <w:spacing w:after="0" w:line="240" w:lineRule="auto"/>
              <w:jc w:val="both"/>
              <w:rPr>
                <w:rFonts w:ascii="Arial" w:hAnsi="Arial" w:cs="Arial"/>
                <w:sz w:val="16"/>
                <w:szCs w:val="16"/>
              </w:rPr>
            </w:pPr>
          </w:p>
        </w:tc>
      </w:tr>
      <w:tr w:rsidR="0001029F" w:rsidRPr="0001029F" w14:paraId="30AB985A" w14:textId="77777777" w:rsidTr="0001029F">
        <w:trPr>
          <w:trHeight w:val="987"/>
        </w:trPr>
        <w:tc>
          <w:tcPr>
            <w:tcW w:w="2971" w:type="dxa"/>
          </w:tcPr>
          <w:p w14:paraId="3374A214"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b/>
                <w:bCs/>
                <w:sz w:val="16"/>
                <w:szCs w:val="16"/>
              </w:rPr>
              <w:t xml:space="preserve">III.2. Le pouvoir d’achat des ménages </w:t>
            </w:r>
          </w:p>
        </w:tc>
        <w:tc>
          <w:tcPr>
            <w:tcW w:w="2971" w:type="dxa"/>
          </w:tcPr>
          <w:p w14:paraId="7801C96E" w14:textId="77777777" w:rsid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Le pouvoir d’achat mesure la quantité de biens et services qu’un ménage peut acquérir étant donné le revenu dont il dispose. Aussi, une hausse des prix moins importante que celle du revenu disponible se traduit-elle par une augme</w:t>
            </w:r>
            <w:r>
              <w:rPr>
                <w:rFonts w:ascii="Arial" w:hAnsi="Arial" w:cs="Arial"/>
                <w:sz w:val="16"/>
                <w:szCs w:val="16"/>
              </w:rPr>
              <w:t>ntation de son pouvoir d’achat.</w:t>
            </w:r>
          </w:p>
          <w:p w14:paraId="1C7A9BE1" w14:textId="1A16CEA1" w:rsidR="0001029F" w:rsidRPr="0001029F" w:rsidRDefault="0001029F" w:rsidP="0001029F">
            <w:pPr>
              <w:spacing w:after="0" w:line="240" w:lineRule="auto"/>
              <w:jc w:val="both"/>
              <w:rPr>
                <w:rFonts w:ascii="Arial" w:hAnsi="Arial" w:cs="Arial"/>
                <w:sz w:val="16"/>
                <w:szCs w:val="16"/>
              </w:rPr>
            </w:pPr>
          </w:p>
        </w:tc>
        <w:tc>
          <w:tcPr>
            <w:tcW w:w="2971" w:type="dxa"/>
          </w:tcPr>
          <w:p w14:paraId="26BACC93" w14:textId="77777777" w:rsidR="0001029F" w:rsidRP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 xml:space="preserve">L’indice des prix à la consommation. </w:t>
            </w:r>
          </w:p>
          <w:p w14:paraId="2557B446" w14:textId="576D1509" w:rsidR="0001029F" w:rsidRPr="0001029F" w:rsidRDefault="0001029F" w:rsidP="0001029F">
            <w:pPr>
              <w:spacing w:after="0" w:line="240" w:lineRule="auto"/>
              <w:jc w:val="both"/>
              <w:rPr>
                <w:rFonts w:ascii="Arial" w:hAnsi="Arial" w:cs="Arial"/>
                <w:sz w:val="16"/>
                <w:szCs w:val="16"/>
              </w:rPr>
            </w:pPr>
            <w:r w:rsidRPr="0001029F">
              <w:rPr>
                <w:rFonts w:ascii="Arial" w:hAnsi="Arial" w:cs="Arial"/>
                <w:sz w:val="16"/>
                <w:szCs w:val="16"/>
              </w:rPr>
              <w:t xml:space="preserve"> </w:t>
            </w:r>
          </w:p>
        </w:tc>
      </w:tr>
    </w:tbl>
    <w:p w14:paraId="73B8543C" w14:textId="089C46FC" w:rsidR="0001029F" w:rsidRDefault="0001029F" w:rsidP="008B3ACB">
      <w:pPr>
        <w:spacing w:after="0" w:line="240" w:lineRule="auto"/>
        <w:jc w:val="both"/>
        <w:rPr>
          <w:rFonts w:ascii="Arial" w:hAnsi="Arial" w:cs="Arial"/>
          <w:sz w:val="20"/>
          <w:szCs w:val="20"/>
        </w:rPr>
      </w:pPr>
    </w:p>
    <w:p w14:paraId="6E5BEAA4" w14:textId="77777777" w:rsidR="0001029F" w:rsidRPr="0001029F" w:rsidRDefault="0001029F" w:rsidP="008B3ACB">
      <w:pPr>
        <w:spacing w:after="0" w:line="240" w:lineRule="auto"/>
        <w:jc w:val="both"/>
        <w:rPr>
          <w:rFonts w:ascii="Arial" w:hAnsi="Arial" w:cs="Arial"/>
          <w:sz w:val="20"/>
          <w:szCs w:val="20"/>
        </w:rPr>
      </w:pPr>
    </w:p>
    <w:p w14:paraId="06CEE427" w14:textId="2A7FBC3E" w:rsidR="00B705B0" w:rsidRPr="00C20AAA" w:rsidRDefault="00B705B0" w:rsidP="008B3ACB">
      <w:pPr>
        <w:spacing w:after="0" w:line="240" w:lineRule="auto"/>
        <w:jc w:val="both"/>
        <w:rPr>
          <w:rFonts w:ascii="Arial" w:hAnsi="Arial" w:cs="Arial"/>
          <w:sz w:val="20"/>
          <w:szCs w:val="20"/>
          <w:u w:val="single"/>
        </w:rPr>
      </w:pPr>
      <w:r w:rsidRPr="00C20AAA">
        <w:rPr>
          <w:rFonts w:ascii="Arial" w:hAnsi="Arial" w:cs="Arial"/>
          <w:sz w:val="20"/>
          <w:szCs w:val="20"/>
          <w:u w:val="single"/>
        </w:rPr>
        <w:t>Thème 5</w:t>
      </w:r>
      <w:r w:rsidR="00C20AAA">
        <w:rPr>
          <w:rFonts w:ascii="Arial" w:hAnsi="Arial" w:cs="Arial"/>
          <w:sz w:val="20"/>
          <w:szCs w:val="20"/>
          <w:u w:val="single"/>
        </w:rPr>
        <w:t xml:space="preserve"> (classe de première)</w:t>
      </w:r>
      <w:r w:rsidRPr="00C20AAA">
        <w:rPr>
          <w:rFonts w:ascii="Arial" w:hAnsi="Arial" w:cs="Arial"/>
          <w:sz w:val="20"/>
          <w:szCs w:val="20"/>
          <w:u w:val="single"/>
        </w:rPr>
        <w:t xml:space="preserve"> : Les marchés des biens et services sont-ils concurrentiels ?</w:t>
      </w:r>
    </w:p>
    <w:p w14:paraId="3BE958A5" w14:textId="1F1F3B7F" w:rsidR="008B3ACB" w:rsidRPr="008B3ACB" w:rsidRDefault="008B3ACB" w:rsidP="008B3ACB">
      <w:pPr>
        <w:spacing w:after="0" w:line="240" w:lineRule="auto"/>
        <w:jc w:val="both"/>
        <w:rPr>
          <w:rFonts w:ascii="Arial" w:hAnsi="Arial" w:cs="Arial"/>
          <w:sz w:val="20"/>
          <w:szCs w:val="20"/>
        </w:rPr>
      </w:pPr>
      <w:r w:rsidRPr="008B3ACB">
        <w:rPr>
          <w:rFonts w:ascii="Arial" w:hAnsi="Arial" w:cs="Arial"/>
          <w:sz w:val="20"/>
          <w:szCs w:val="20"/>
        </w:rPr>
        <w:t>L’élève est capable :</w:t>
      </w:r>
    </w:p>
    <w:p w14:paraId="0C3A3EFF" w14:textId="7732B95A" w:rsidR="008B3ACB" w:rsidRDefault="008B3ACB" w:rsidP="008B3ACB">
      <w:pPr>
        <w:pStyle w:val="Paragraphedeliste"/>
        <w:numPr>
          <w:ilvl w:val="0"/>
          <w:numId w:val="8"/>
        </w:numPr>
        <w:spacing w:after="0" w:line="240" w:lineRule="auto"/>
        <w:jc w:val="both"/>
        <w:rPr>
          <w:rFonts w:ascii="Arial" w:hAnsi="Arial" w:cs="Arial"/>
          <w:sz w:val="20"/>
          <w:szCs w:val="20"/>
        </w:rPr>
      </w:pPr>
      <w:r w:rsidRPr="008B3ACB">
        <w:rPr>
          <w:rFonts w:ascii="Arial" w:hAnsi="Arial" w:cs="Arial"/>
          <w:sz w:val="20"/>
          <w:szCs w:val="20"/>
        </w:rPr>
        <w:t>de calculer un degré de concentration des marchés et de caractériser la structure des différentes formes de concentration : concurrence, oligopole et monopole</w:t>
      </w:r>
      <w:r>
        <w:rPr>
          <w:rFonts w:ascii="Arial" w:hAnsi="Arial" w:cs="Arial"/>
          <w:sz w:val="20"/>
          <w:szCs w:val="20"/>
        </w:rPr>
        <w:t> ;</w:t>
      </w:r>
    </w:p>
    <w:p w14:paraId="6FFDAE13" w14:textId="5CE8C5E4" w:rsidR="008B3ACB" w:rsidRPr="008B3ACB" w:rsidRDefault="008B3ACB" w:rsidP="008B3ACB">
      <w:pPr>
        <w:pStyle w:val="Paragraphedeliste"/>
        <w:numPr>
          <w:ilvl w:val="0"/>
          <w:numId w:val="8"/>
        </w:numPr>
        <w:spacing w:after="0" w:line="240" w:lineRule="auto"/>
        <w:jc w:val="both"/>
        <w:rPr>
          <w:rFonts w:ascii="Arial" w:hAnsi="Arial" w:cs="Arial"/>
          <w:sz w:val="20"/>
          <w:szCs w:val="20"/>
        </w:rPr>
      </w:pPr>
      <w:r w:rsidRPr="008B3ACB">
        <w:rPr>
          <w:rFonts w:ascii="Arial" w:hAnsi="Arial" w:cs="Arial"/>
          <w:sz w:val="20"/>
          <w:szCs w:val="20"/>
        </w:rPr>
        <w:t>d’analyser les stratégies de fixation des prix par les entreprises en fonction de la concentration du marché</w:t>
      </w:r>
      <w:r w:rsidR="00C20AA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2994"/>
        <w:gridCol w:w="2994"/>
      </w:tblGrid>
      <w:tr w:rsidR="00B705B0" w:rsidRPr="00B705B0" w14:paraId="39A81C7A" w14:textId="77777777" w:rsidTr="00B705B0">
        <w:trPr>
          <w:trHeight w:val="103"/>
        </w:trPr>
        <w:tc>
          <w:tcPr>
            <w:tcW w:w="2994" w:type="dxa"/>
          </w:tcPr>
          <w:p w14:paraId="52BB866A" w14:textId="77777777" w:rsidR="00B705B0" w:rsidRPr="00B705B0" w:rsidRDefault="00B705B0">
            <w:pPr>
              <w:pStyle w:val="Default"/>
              <w:rPr>
                <w:sz w:val="16"/>
                <w:szCs w:val="16"/>
              </w:rPr>
            </w:pPr>
            <w:r w:rsidRPr="00B705B0">
              <w:rPr>
                <w:b/>
                <w:bCs/>
                <w:sz w:val="16"/>
                <w:szCs w:val="16"/>
              </w:rPr>
              <w:t xml:space="preserve">Thèmes </w:t>
            </w:r>
          </w:p>
        </w:tc>
        <w:tc>
          <w:tcPr>
            <w:tcW w:w="2994" w:type="dxa"/>
          </w:tcPr>
          <w:p w14:paraId="7F20762F" w14:textId="77777777" w:rsidR="00B705B0" w:rsidRPr="00B705B0" w:rsidRDefault="00B705B0">
            <w:pPr>
              <w:pStyle w:val="Default"/>
              <w:rPr>
                <w:sz w:val="16"/>
                <w:szCs w:val="16"/>
              </w:rPr>
            </w:pPr>
            <w:r w:rsidRPr="00B705B0">
              <w:rPr>
                <w:b/>
                <w:bCs/>
                <w:sz w:val="16"/>
                <w:szCs w:val="16"/>
              </w:rPr>
              <w:t xml:space="preserve">Contexte et finalités </w:t>
            </w:r>
          </w:p>
        </w:tc>
        <w:tc>
          <w:tcPr>
            <w:tcW w:w="2994" w:type="dxa"/>
          </w:tcPr>
          <w:p w14:paraId="1B62D593" w14:textId="77777777" w:rsidR="00B705B0" w:rsidRPr="00B705B0" w:rsidRDefault="00B705B0">
            <w:pPr>
              <w:pStyle w:val="Default"/>
              <w:rPr>
                <w:sz w:val="16"/>
                <w:szCs w:val="16"/>
              </w:rPr>
            </w:pPr>
            <w:r w:rsidRPr="00B705B0">
              <w:rPr>
                <w:b/>
                <w:bCs/>
                <w:sz w:val="16"/>
                <w:szCs w:val="16"/>
              </w:rPr>
              <w:t xml:space="preserve">Notions </w:t>
            </w:r>
          </w:p>
        </w:tc>
      </w:tr>
      <w:tr w:rsidR="00B705B0" w:rsidRPr="00B705B0" w14:paraId="217DD7A2" w14:textId="77777777" w:rsidTr="00B705B0">
        <w:trPr>
          <w:trHeight w:val="1802"/>
        </w:trPr>
        <w:tc>
          <w:tcPr>
            <w:tcW w:w="2994" w:type="dxa"/>
          </w:tcPr>
          <w:p w14:paraId="01595761" w14:textId="77777777" w:rsidR="00B705B0" w:rsidRPr="00B705B0" w:rsidRDefault="00B705B0">
            <w:pPr>
              <w:pStyle w:val="Default"/>
              <w:rPr>
                <w:sz w:val="16"/>
                <w:szCs w:val="16"/>
              </w:rPr>
            </w:pPr>
            <w:r w:rsidRPr="00B705B0">
              <w:rPr>
                <w:b/>
                <w:bCs/>
                <w:sz w:val="16"/>
                <w:szCs w:val="16"/>
              </w:rPr>
              <w:t xml:space="preserve">V.1. Le degré de concurrence selon les marchés </w:t>
            </w:r>
          </w:p>
        </w:tc>
        <w:tc>
          <w:tcPr>
            <w:tcW w:w="2994" w:type="dxa"/>
          </w:tcPr>
          <w:p w14:paraId="5B79DCA8" w14:textId="77777777" w:rsidR="00B705B0" w:rsidRPr="00B705B0" w:rsidRDefault="00B705B0">
            <w:pPr>
              <w:pStyle w:val="Default"/>
              <w:rPr>
                <w:sz w:val="16"/>
                <w:szCs w:val="16"/>
              </w:rPr>
            </w:pPr>
            <w:r w:rsidRPr="00B705B0">
              <w:rPr>
                <w:sz w:val="16"/>
                <w:szCs w:val="16"/>
              </w:rPr>
              <w:t xml:space="preserve">Le degré de concurrence sur un marché dépend du nombre d’entreprises, de leurs stratégies, de l’entrée potentielle de nouveau concurrents, des barrières à l’entrée et de l’existence de produits substituables. </w:t>
            </w:r>
          </w:p>
          <w:p w14:paraId="6D13109E" w14:textId="77777777" w:rsidR="00B705B0" w:rsidRPr="00B705B0" w:rsidRDefault="00B705B0">
            <w:pPr>
              <w:pStyle w:val="Default"/>
              <w:rPr>
                <w:sz w:val="16"/>
                <w:szCs w:val="16"/>
              </w:rPr>
            </w:pPr>
            <w:r w:rsidRPr="00B705B0">
              <w:rPr>
                <w:sz w:val="16"/>
                <w:szCs w:val="16"/>
              </w:rPr>
              <w:t xml:space="preserve">Le prix d’un bien ou service correspond à la valeur à laquelle un échange peut être réalisé. Si le marché est concurrentiel, le prix converge vers le coût marginal de production et sera donc plus avantageux pour le consommateur qu’un prix de concurrence imparfaite ou celui d’un monopoleur. </w:t>
            </w:r>
          </w:p>
        </w:tc>
        <w:tc>
          <w:tcPr>
            <w:tcW w:w="2994" w:type="dxa"/>
          </w:tcPr>
          <w:p w14:paraId="0F715ECF" w14:textId="77777777" w:rsidR="00B705B0" w:rsidRPr="00B705B0" w:rsidRDefault="00B705B0">
            <w:pPr>
              <w:pStyle w:val="Default"/>
              <w:rPr>
                <w:sz w:val="16"/>
                <w:szCs w:val="16"/>
              </w:rPr>
            </w:pPr>
            <w:r w:rsidRPr="00B705B0">
              <w:rPr>
                <w:sz w:val="16"/>
                <w:szCs w:val="16"/>
              </w:rPr>
              <w:t xml:space="preserve">L’offre et la demande. </w:t>
            </w:r>
          </w:p>
          <w:p w14:paraId="0B4EE3C6" w14:textId="77777777" w:rsidR="00B705B0" w:rsidRPr="00B705B0" w:rsidRDefault="00B705B0">
            <w:pPr>
              <w:pStyle w:val="Default"/>
              <w:rPr>
                <w:sz w:val="16"/>
                <w:szCs w:val="16"/>
              </w:rPr>
            </w:pPr>
            <w:r w:rsidRPr="00B705B0">
              <w:rPr>
                <w:sz w:val="16"/>
                <w:szCs w:val="16"/>
              </w:rPr>
              <w:t xml:space="preserve">Le prix d’équilibre. </w:t>
            </w:r>
          </w:p>
          <w:p w14:paraId="6C84DBB9" w14:textId="77777777" w:rsidR="00B705B0" w:rsidRPr="00B705B0" w:rsidRDefault="00B705B0">
            <w:pPr>
              <w:pStyle w:val="Default"/>
              <w:rPr>
                <w:sz w:val="16"/>
                <w:szCs w:val="16"/>
              </w:rPr>
            </w:pPr>
            <w:r w:rsidRPr="00B705B0">
              <w:rPr>
                <w:sz w:val="16"/>
                <w:szCs w:val="16"/>
              </w:rPr>
              <w:t xml:space="preserve">L’élasticité prix-demande. </w:t>
            </w:r>
          </w:p>
          <w:p w14:paraId="3E2BC9E6" w14:textId="77777777" w:rsidR="00B705B0" w:rsidRPr="00B705B0" w:rsidRDefault="00B705B0">
            <w:pPr>
              <w:pStyle w:val="Default"/>
              <w:rPr>
                <w:sz w:val="16"/>
                <w:szCs w:val="16"/>
              </w:rPr>
            </w:pPr>
            <w:r w:rsidRPr="00B705B0">
              <w:rPr>
                <w:sz w:val="16"/>
                <w:szCs w:val="16"/>
              </w:rPr>
              <w:t xml:space="preserve">La concurrence, oligopole, monopole, cartel. </w:t>
            </w:r>
          </w:p>
          <w:p w14:paraId="30ED56B2" w14:textId="77777777" w:rsidR="00B705B0" w:rsidRPr="00B705B0" w:rsidRDefault="00B705B0">
            <w:pPr>
              <w:pStyle w:val="Default"/>
              <w:rPr>
                <w:sz w:val="16"/>
                <w:szCs w:val="16"/>
              </w:rPr>
            </w:pPr>
            <w:r w:rsidRPr="00B705B0">
              <w:rPr>
                <w:sz w:val="16"/>
                <w:szCs w:val="16"/>
              </w:rPr>
              <w:t xml:space="preserve">La concurrence imparfaite. </w:t>
            </w:r>
          </w:p>
          <w:p w14:paraId="1C23B1D9" w14:textId="77777777" w:rsidR="00B705B0" w:rsidRPr="00B705B0" w:rsidRDefault="00B705B0">
            <w:pPr>
              <w:pStyle w:val="Default"/>
              <w:rPr>
                <w:sz w:val="16"/>
                <w:szCs w:val="16"/>
              </w:rPr>
            </w:pPr>
            <w:r w:rsidRPr="00B705B0">
              <w:rPr>
                <w:sz w:val="16"/>
                <w:szCs w:val="16"/>
              </w:rPr>
              <w:t xml:space="preserve">Les barrières à l’entrée. </w:t>
            </w:r>
          </w:p>
          <w:p w14:paraId="34BF1463" w14:textId="77777777" w:rsidR="00B705B0" w:rsidRPr="00B705B0" w:rsidRDefault="00B705B0">
            <w:pPr>
              <w:pStyle w:val="Default"/>
              <w:rPr>
                <w:sz w:val="16"/>
                <w:szCs w:val="16"/>
              </w:rPr>
            </w:pPr>
            <w:r w:rsidRPr="00B705B0">
              <w:rPr>
                <w:sz w:val="16"/>
                <w:szCs w:val="16"/>
              </w:rPr>
              <w:t xml:space="preserve">L’indice de concentration sur un marché. </w:t>
            </w:r>
          </w:p>
        </w:tc>
      </w:tr>
      <w:tr w:rsidR="00B705B0" w:rsidRPr="00B705B0" w14:paraId="560F4D7D" w14:textId="77777777" w:rsidTr="00B705B0">
        <w:trPr>
          <w:trHeight w:val="1894"/>
        </w:trPr>
        <w:tc>
          <w:tcPr>
            <w:tcW w:w="2994" w:type="dxa"/>
          </w:tcPr>
          <w:p w14:paraId="73C62822" w14:textId="77777777" w:rsidR="00B705B0" w:rsidRPr="00B705B0" w:rsidRDefault="00B705B0">
            <w:pPr>
              <w:pStyle w:val="Default"/>
              <w:rPr>
                <w:sz w:val="16"/>
                <w:szCs w:val="16"/>
              </w:rPr>
            </w:pPr>
            <w:r w:rsidRPr="00B705B0">
              <w:rPr>
                <w:b/>
                <w:bCs/>
                <w:sz w:val="16"/>
                <w:szCs w:val="16"/>
              </w:rPr>
              <w:t xml:space="preserve">V.2. Les stratégies pour dépasser l’intensité concurrentielle </w:t>
            </w:r>
          </w:p>
        </w:tc>
        <w:tc>
          <w:tcPr>
            <w:tcW w:w="2994" w:type="dxa"/>
          </w:tcPr>
          <w:p w14:paraId="13FE88BB" w14:textId="77777777" w:rsidR="00B705B0" w:rsidRPr="00B705B0" w:rsidRDefault="00B705B0">
            <w:pPr>
              <w:pStyle w:val="Default"/>
              <w:rPr>
                <w:sz w:val="16"/>
                <w:szCs w:val="16"/>
              </w:rPr>
            </w:pPr>
            <w:r w:rsidRPr="00B705B0">
              <w:rPr>
                <w:sz w:val="16"/>
                <w:szCs w:val="16"/>
              </w:rPr>
              <w:t xml:space="preserve">La concurrence fait disparaître les surprofits de monopole. Certaines entreprises vont alors innover et différencier en qualité leurs produits pour pouvoir conserver des créneaux haut de gamme en termes de produits avec des prix élevés. </w:t>
            </w:r>
          </w:p>
          <w:p w14:paraId="26D02276" w14:textId="77777777" w:rsidR="00B705B0" w:rsidRPr="00B705B0" w:rsidRDefault="00B705B0">
            <w:pPr>
              <w:pStyle w:val="Default"/>
              <w:rPr>
                <w:sz w:val="16"/>
                <w:szCs w:val="16"/>
              </w:rPr>
            </w:pPr>
            <w:r w:rsidRPr="00B705B0">
              <w:rPr>
                <w:sz w:val="16"/>
                <w:szCs w:val="16"/>
              </w:rPr>
              <w:t xml:space="preserve">Sur le long terme et grâce aux entreprises innovantes mais aussi imitatrices, l’innovation va permettre d’abaisser les prix relatifs des produits innovants (TV, voitures, ordinateurs, etc.). Le consommateur bénéficie de nouveaux produits meilleurs en qualité et en contenu technologique. </w:t>
            </w:r>
          </w:p>
        </w:tc>
        <w:tc>
          <w:tcPr>
            <w:tcW w:w="2994" w:type="dxa"/>
          </w:tcPr>
          <w:p w14:paraId="19C6C902" w14:textId="77777777" w:rsidR="00B705B0" w:rsidRPr="00B705B0" w:rsidRDefault="00B705B0">
            <w:pPr>
              <w:pStyle w:val="Default"/>
              <w:rPr>
                <w:sz w:val="16"/>
                <w:szCs w:val="16"/>
              </w:rPr>
            </w:pPr>
            <w:r w:rsidRPr="00B705B0">
              <w:rPr>
                <w:sz w:val="16"/>
                <w:szCs w:val="16"/>
              </w:rPr>
              <w:t xml:space="preserve">L’innovation, la différenciation des produits. </w:t>
            </w:r>
          </w:p>
          <w:p w14:paraId="7A1A17C8" w14:textId="77777777" w:rsidR="00B705B0" w:rsidRPr="00B705B0" w:rsidRDefault="00B705B0">
            <w:pPr>
              <w:pStyle w:val="Default"/>
              <w:rPr>
                <w:sz w:val="16"/>
                <w:szCs w:val="16"/>
              </w:rPr>
            </w:pPr>
            <w:r w:rsidRPr="00B705B0">
              <w:rPr>
                <w:sz w:val="16"/>
                <w:szCs w:val="16"/>
              </w:rPr>
              <w:t xml:space="preserve">Le monopole, l’oligopole. </w:t>
            </w:r>
          </w:p>
        </w:tc>
      </w:tr>
    </w:tbl>
    <w:p w14:paraId="12137900" w14:textId="09BB986A" w:rsidR="00B705B0" w:rsidRPr="00C20AAA" w:rsidRDefault="00B705B0" w:rsidP="00C20AAA">
      <w:pPr>
        <w:spacing w:after="0" w:line="240" w:lineRule="auto"/>
        <w:jc w:val="both"/>
        <w:rPr>
          <w:rFonts w:ascii="Arial" w:hAnsi="Arial" w:cs="Arial"/>
          <w:sz w:val="20"/>
          <w:szCs w:val="20"/>
        </w:rPr>
      </w:pPr>
    </w:p>
    <w:p w14:paraId="3F213B4C" w14:textId="77777777" w:rsidR="00A91C72" w:rsidRDefault="00A91C72" w:rsidP="00C20AAA">
      <w:pPr>
        <w:spacing w:after="0" w:line="240" w:lineRule="auto"/>
        <w:jc w:val="both"/>
        <w:rPr>
          <w:rFonts w:ascii="Arial" w:hAnsi="Arial" w:cs="Arial"/>
          <w:sz w:val="20"/>
          <w:szCs w:val="20"/>
          <w:u w:val="single"/>
        </w:rPr>
      </w:pPr>
    </w:p>
    <w:p w14:paraId="78ECB297" w14:textId="77777777" w:rsidR="00A91C72" w:rsidRDefault="00A91C72" w:rsidP="00C20AAA">
      <w:pPr>
        <w:spacing w:after="0" w:line="240" w:lineRule="auto"/>
        <w:jc w:val="both"/>
        <w:rPr>
          <w:rFonts w:ascii="Arial" w:hAnsi="Arial" w:cs="Arial"/>
          <w:sz w:val="20"/>
          <w:szCs w:val="20"/>
          <w:u w:val="single"/>
        </w:rPr>
      </w:pPr>
    </w:p>
    <w:p w14:paraId="02E64FA8" w14:textId="74D025CC" w:rsidR="00B705B0" w:rsidRPr="00C20AAA" w:rsidRDefault="00B705B0" w:rsidP="00C20AAA">
      <w:pPr>
        <w:spacing w:after="0" w:line="240" w:lineRule="auto"/>
        <w:jc w:val="both"/>
        <w:rPr>
          <w:rFonts w:ascii="Arial" w:hAnsi="Arial" w:cs="Arial"/>
          <w:sz w:val="20"/>
          <w:szCs w:val="20"/>
          <w:u w:val="single"/>
        </w:rPr>
      </w:pPr>
      <w:r w:rsidRPr="00C20AAA">
        <w:rPr>
          <w:rFonts w:ascii="Arial" w:hAnsi="Arial" w:cs="Arial"/>
          <w:sz w:val="20"/>
          <w:szCs w:val="20"/>
          <w:u w:val="single"/>
        </w:rPr>
        <w:lastRenderedPageBreak/>
        <w:t>Thème 6</w:t>
      </w:r>
      <w:r w:rsidR="00C20AAA">
        <w:rPr>
          <w:rFonts w:ascii="Arial" w:hAnsi="Arial" w:cs="Arial"/>
          <w:sz w:val="20"/>
          <w:szCs w:val="20"/>
          <w:u w:val="single"/>
        </w:rPr>
        <w:t xml:space="preserve"> (classe de terminale)</w:t>
      </w:r>
      <w:r w:rsidRPr="00C20AAA">
        <w:rPr>
          <w:rFonts w:ascii="Arial" w:hAnsi="Arial" w:cs="Arial"/>
          <w:sz w:val="20"/>
          <w:szCs w:val="20"/>
          <w:u w:val="single"/>
        </w:rPr>
        <w:t xml:space="preserve"> : Comment l’État peut-il intervenir dans l’économie ?</w:t>
      </w:r>
    </w:p>
    <w:p w14:paraId="2B8C3ED9" w14:textId="77777777" w:rsidR="00A91C72" w:rsidRDefault="00A91C72" w:rsidP="00C20AAA">
      <w:pPr>
        <w:spacing w:after="0" w:line="240" w:lineRule="auto"/>
        <w:jc w:val="both"/>
        <w:rPr>
          <w:rFonts w:ascii="Arial" w:hAnsi="Arial" w:cs="Arial"/>
          <w:sz w:val="20"/>
          <w:szCs w:val="20"/>
        </w:rPr>
      </w:pPr>
    </w:p>
    <w:p w14:paraId="2616ABFE" w14:textId="6DE0863D" w:rsidR="00C20AAA" w:rsidRPr="00C20AAA" w:rsidRDefault="00C20AAA" w:rsidP="00C20AAA">
      <w:pPr>
        <w:spacing w:after="0" w:line="240" w:lineRule="auto"/>
        <w:jc w:val="both"/>
        <w:rPr>
          <w:rFonts w:ascii="Arial" w:hAnsi="Arial" w:cs="Arial"/>
          <w:sz w:val="20"/>
          <w:szCs w:val="20"/>
        </w:rPr>
      </w:pPr>
      <w:r w:rsidRPr="00C20AAA">
        <w:rPr>
          <w:rFonts w:ascii="Arial" w:hAnsi="Arial" w:cs="Arial"/>
          <w:sz w:val="20"/>
          <w:szCs w:val="20"/>
        </w:rPr>
        <w:t>L’élève est capable de :</w:t>
      </w:r>
    </w:p>
    <w:p w14:paraId="598AB746" w14:textId="3516012D" w:rsidR="00C20AAA" w:rsidRPr="00C20AAA" w:rsidRDefault="00C20AAA" w:rsidP="00C20AAA">
      <w:pPr>
        <w:pStyle w:val="Paragraphedeliste"/>
        <w:numPr>
          <w:ilvl w:val="0"/>
          <w:numId w:val="9"/>
        </w:numPr>
        <w:spacing w:after="0" w:line="240" w:lineRule="auto"/>
        <w:jc w:val="both"/>
        <w:rPr>
          <w:rFonts w:ascii="Arial" w:hAnsi="Arial" w:cs="Arial"/>
          <w:sz w:val="20"/>
          <w:szCs w:val="20"/>
        </w:rPr>
      </w:pPr>
      <w:r w:rsidRPr="00C20AAA">
        <w:rPr>
          <w:rFonts w:ascii="Arial" w:hAnsi="Arial" w:cs="Arial"/>
          <w:sz w:val="20"/>
          <w:szCs w:val="20"/>
        </w:rPr>
        <w:t>de justifier pourquoi l’allocation des ressources n’est plus efficace en présence d’une défaillance de marché ;</w:t>
      </w:r>
    </w:p>
    <w:p w14:paraId="2837FE68" w14:textId="55B69292" w:rsidR="00C20AAA" w:rsidRPr="00C20AAA" w:rsidRDefault="00C20AAA" w:rsidP="00C20AAA">
      <w:pPr>
        <w:pStyle w:val="Paragraphedeliste"/>
        <w:numPr>
          <w:ilvl w:val="0"/>
          <w:numId w:val="9"/>
        </w:numPr>
        <w:spacing w:after="0" w:line="240" w:lineRule="auto"/>
        <w:jc w:val="both"/>
        <w:rPr>
          <w:rFonts w:ascii="Arial" w:hAnsi="Arial" w:cs="Arial"/>
          <w:sz w:val="20"/>
          <w:szCs w:val="20"/>
        </w:rPr>
      </w:pPr>
      <w:r w:rsidRPr="00C20AAA">
        <w:rPr>
          <w:rFonts w:ascii="Arial" w:hAnsi="Arial" w:cs="Arial"/>
          <w:sz w:val="20"/>
          <w:szCs w:val="20"/>
        </w:rPr>
        <w:t>d’énoncer des solutions permettant de corriger ces défaillances de marché</w:t>
      </w:r>
      <w:r>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26"/>
        <w:gridCol w:w="2968"/>
        <w:gridCol w:w="44"/>
        <w:gridCol w:w="8"/>
        <w:gridCol w:w="2942"/>
        <w:gridCol w:w="62"/>
        <w:gridCol w:w="19"/>
      </w:tblGrid>
      <w:tr w:rsidR="003E6F74" w:rsidRPr="00B705B0" w14:paraId="6CC76CEE" w14:textId="77777777" w:rsidTr="0089264C">
        <w:trPr>
          <w:gridAfter w:val="2"/>
          <w:wAfter w:w="81" w:type="dxa"/>
          <w:trHeight w:val="103"/>
        </w:trPr>
        <w:tc>
          <w:tcPr>
            <w:tcW w:w="2994" w:type="dxa"/>
          </w:tcPr>
          <w:p w14:paraId="3D3598DB" w14:textId="77777777" w:rsidR="003E6F74" w:rsidRPr="00B705B0" w:rsidRDefault="003E6F74" w:rsidP="0089264C">
            <w:pPr>
              <w:pStyle w:val="Default"/>
              <w:rPr>
                <w:sz w:val="16"/>
                <w:szCs w:val="16"/>
              </w:rPr>
            </w:pPr>
            <w:r w:rsidRPr="00B705B0">
              <w:rPr>
                <w:b/>
                <w:bCs/>
                <w:sz w:val="16"/>
                <w:szCs w:val="16"/>
              </w:rPr>
              <w:t xml:space="preserve">Thèmes </w:t>
            </w:r>
          </w:p>
        </w:tc>
        <w:tc>
          <w:tcPr>
            <w:tcW w:w="2994" w:type="dxa"/>
            <w:gridSpan w:val="2"/>
          </w:tcPr>
          <w:p w14:paraId="4C35E6D8" w14:textId="77777777" w:rsidR="003E6F74" w:rsidRPr="00B705B0" w:rsidRDefault="003E6F74" w:rsidP="0089264C">
            <w:pPr>
              <w:pStyle w:val="Default"/>
              <w:rPr>
                <w:sz w:val="16"/>
                <w:szCs w:val="16"/>
              </w:rPr>
            </w:pPr>
            <w:r w:rsidRPr="00B705B0">
              <w:rPr>
                <w:b/>
                <w:bCs/>
                <w:sz w:val="16"/>
                <w:szCs w:val="16"/>
              </w:rPr>
              <w:t xml:space="preserve">Contexte et finalités </w:t>
            </w:r>
          </w:p>
        </w:tc>
        <w:tc>
          <w:tcPr>
            <w:tcW w:w="2994" w:type="dxa"/>
            <w:gridSpan w:val="3"/>
          </w:tcPr>
          <w:p w14:paraId="4AE5CBC7" w14:textId="77777777" w:rsidR="003E6F74" w:rsidRPr="00B705B0" w:rsidRDefault="003E6F74" w:rsidP="0089264C">
            <w:pPr>
              <w:pStyle w:val="Default"/>
              <w:rPr>
                <w:sz w:val="16"/>
                <w:szCs w:val="16"/>
              </w:rPr>
            </w:pPr>
            <w:r w:rsidRPr="00B705B0">
              <w:rPr>
                <w:b/>
                <w:bCs/>
                <w:sz w:val="16"/>
                <w:szCs w:val="16"/>
              </w:rPr>
              <w:t xml:space="preserve">Notions </w:t>
            </w:r>
          </w:p>
        </w:tc>
      </w:tr>
      <w:tr w:rsidR="008B3ACB" w14:paraId="5A901F5E" w14:textId="77777777" w:rsidTr="008B3ACB">
        <w:tblPrEx>
          <w:tblBorders>
            <w:top w:val="nil"/>
            <w:left w:val="nil"/>
            <w:bottom w:val="nil"/>
            <w:right w:val="nil"/>
            <w:insideH w:val="none" w:sz="0" w:space="0" w:color="auto"/>
            <w:insideV w:val="none" w:sz="0" w:space="0" w:color="auto"/>
          </w:tblBorders>
        </w:tblPrEx>
        <w:trPr>
          <w:trHeight w:val="2657"/>
        </w:trPr>
        <w:tc>
          <w:tcPr>
            <w:tcW w:w="3020" w:type="dxa"/>
            <w:gridSpan w:val="2"/>
            <w:tcBorders>
              <w:top w:val="single" w:sz="4" w:space="0" w:color="auto"/>
              <w:left w:val="single" w:sz="4" w:space="0" w:color="auto"/>
              <w:bottom w:val="single" w:sz="4" w:space="0" w:color="auto"/>
              <w:right w:val="single" w:sz="4" w:space="0" w:color="auto"/>
            </w:tcBorders>
          </w:tcPr>
          <w:p w14:paraId="6239A6B0" w14:textId="77777777" w:rsidR="008B3ACB" w:rsidRPr="008B3ACB" w:rsidRDefault="008B3ACB" w:rsidP="00C20AAA">
            <w:pPr>
              <w:pStyle w:val="Default"/>
              <w:jc w:val="both"/>
              <w:rPr>
                <w:sz w:val="16"/>
                <w:szCs w:val="16"/>
              </w:rPr>
            </w:pPr>
            <w:r w:rsidRPr="008B3ACB">
              <w:rPr>
                <w:b/>
                <w:bCs/>
                <w:sz w:val="16"/>
                <w:szCs w:val="16"/>
              </w:rPr>
              <w:t xml:space="preserve">6.2 Défaillances des marchés et défaillances de l’État </w:t>
            </w:r>
          </w:p>
        </w:tc>
        <w:tc>
          <w:tcPr>
            <w:tcW w:w="3020" w:type="dxa"/>
            <w:gridSpan w:val="3"/>
            <w:tcBorders>
              <w:top w:val="single" w:sz="4" w:space="0" w:color="auto"/>
              <w:left w:val="single" w:sz="4" w:space="0" w:color="auto"/>
              <w:bottom w:val="single" w:sz="4" w:space="0" w:color="auto"/>
              <w:right w:val="single" w:sz="4" w:space="0" w:color="auto"/>
            </w:tcBorders>
          </w:tcPr>
          <w:p w14:paraId="5597791C" w14:textId="39173216" w:rsidR="008B3ACB" w:rsidRPr="008B3ACB" w:rsidRDefault="008B3ACB" w:rsidP="00C20AAA">
            <w:pPr>
              <w:pStyle w:val="Default"/>
              <w:jc w:val="both"/>
              <w:rPr>
                <w:rFonts w:ascii="Calibri" w:hAnsi="Calibri" w:cs="Calibri"/>
                <w:strike/>
                <w:sz w:val="16"/>
                <w:szCs w:val="16"/>
              </w:rPr>
            </w:pPr>
            <w:r w:rsidRPr="008B3ACB">
              <w:rPr>
                <w:sz w:val="16"/>
                <w:szCs w:val="16"/>
              </w:rPr>
              <w:t xml:space="preserve">Les interventions économiques de l’État visent à corriger les défaillances et </w:t>
            </w:r>
            <w:r w:rsidR="00C20AAA">
              <w:rPr>
                <w:sz w:val="16"/>
                <w:szCs w:val="16"/>
              </w:rPr>
              <w:t>dysfonctionnements des marchés :</w:t>
            </w:r>
          </w:p>
          <w:p w14:paraId="2F0DFAA5" w14:textId="278921A4" w:rsidR="008B3ACB" w:rsidRPr="008B3ACB" w:rsidRDefault="008B3ACB" w:rsidP="00C20AAA">
            <w:pPr>
              <w:pStyle w:val="Default"/>
              <w:jc w:val="both"/>
              <w:rPr>
                <w:sz w:val="16"/>
                <w:szCs w:val="16"/>
              </w:rPr>
            </w:pPr>
            <w:r w:rsidRPr="008B3ACB">
              <w:rPr>
                <w:rFonts w:ascii="Calibri" w:hAnsi="Calibri" w:cs="Calibri"/>
                <w:b/>
                <w:bCs/>
                <w:sz w:val="16"/>
                <w:szCs w:val="16"/>
              </w:rPr>
              <w:t xml:space="preserve">- </w:t>
            </w:r>
            <w:r w:rsidR="00C20AAA">
              <w:rPr>
                <w:sz w:val="16"/>
                <w:szCs w:val="16"/>
              </w:rPr>
              <w:t>la concurrence imparfaite.</w:t>
            </w:r>
          </w:p>
          <w:p w14:paraId="135FF76D" w14:textId="77777777" w:rsidR="008B3ACB" w:rsidRPr="008B3ACB" w:rsidRDefault="008B3ACB" w:rsidP="00C20AAA">
            <w:pPr>
              <w:pStyle w:val="Default"/>
              <w:jc w:val="both"/>
              <w:rPr>
                <w:rFonts w:ascii="Calibri" w:hAnsi="Calibri" w:cs="Calibri"/>
                <w:strike/>
                <w:sz w:val="16"/>
                <w:szCs w:val="16"/>
              </w:rPr>
            </w:pPr>
          </w:p>
          <w:p w14:paraId="63A3D4C8" w14:textId="77777777" w:rsidR="008B3ACB" w:rsidRPr="008B3ACB" w:rsidRDefault="008B3ACB" w:rsidP="00C20AAA">
            <w:pPr>
              <w:pStyle w:val="Default"/>
              <w:jc w:val="both"/>
              <w:rPr>
                <w:sz w:val="16"/>
                <w:szCs w:val="16"/>
              </w:rPr>
            </w:pPr>
            <w:r w:rsidRPr="008B3ACB">
              <w:rPr>
                <w:sz w:val="16"/>
                <w:szCs w:val="16"/>
              </w:rPr>
              <w:t xml:space="preserve">Les défaillances des marchés ne permettent pas une allocation efficace des ressources. L’État doit alors intervenir pour corriger ces défaillances de marché. Il peut notamment : </w:t>
            </w:r>
          </w:p>
          <w:p w14:paraId="31AEC469" w14:textId="71776C00" w:rsidR="008B3ACB" w:rsidRPr="00C20AAA" w:rsidRDefault="008B3ACB" w:rsidP="00C20AAA">
            <w:pPr>
              <w:pStyle w:val="Default"/>
              <w:jc w:val="both"/>
              <w:rPr>
                <w:sz w:val="16"/>
                <w:szCs w:val="16"/>
              </w:rPr>
            </w:pPr>
            <w:r w:rsidRPr="00C20AAA">
              <w:rPr>
                <w:bCs/>
                <w:sz w:val="16"/>
                <w:szCs w:val="16"/>
              </w:rPr>
              <w:t>- mettre en place un</w:t>
            </w:r>
            <w:r w:rsidR="00C20AAA">
              <w:rPr>
                <w:bCs/>
                <w:sz w:val="16"/>
                <w:szCs w:val="16"/>
              </w:rPr>
              <w:t>e politique de la concurrence.</w:t>
            </w:r>
          </w:p>
          <w:p w14:paraId="76E6A27E" w14:textId="77777777" w:rsidR="008B3ACB" w:rsidRPr="008B3ACB" w:rsidRDefault="008B3ACB" w:rsidP="00C20AAA">
            <w:pPr>
              <w:pStyle w:val="Default"/>
              <w:jc w:val="both"/>
              <w:rPr>
                <w:sz w:val="16"/>
                <w:szCs w:val="16"/>
              </w:rPr>
            </w:pPr>
          </w:p>
        </w:tc>
        <w:tc>
          <w:tcPr>
            <w:tcW w:w="3023" w:type="dxa"/>
            <w:gridSpan w:val="3"/>
            <w:tcBorders>
              <w:top w:val="single" w:sz="4" w:space="0" w:color="auto"/>
              <w:left w:val="single" w:sz="4" w:space="0" w:color="auto"/>
              <w:bottom w:val="single" w:sz="4" w:space="0" w:color="auto"/>
              <w:right w:val="single" w:sz="4" w:space="0" w:color="auto"/>
            </w:tcBorders>
          </w:tcPr>
          <w:p w14:paraId="08F4B6BC" w14:textId="77777777" w:rsidR="008B3ACB" w:rsidRPr="008B3ACB" w:rsidRDefault="008B3ACB" w:rsidP="00C20AAA">
            <w:pPr>
              <w:pStyle w:val="Default"/>
              <w:jc w:val="both"/>
              <w:rPr>
                <w:sz w:val="16"/>
                <w:szCs w:val="16"/>
              </w:rPr>
            </w:pPr>
            <w:r w:rsidRPr="008B3ACB">
              <w:rPr>
                <w:sz w:val="16"/>
                <w:szCs w:val="16"/>
              </w:rPr>
              <w:t xml:space="preserve">Les défaillances des marchés. </w:t>
            </w:r>
          </w:p>
          <w:p w14:paraId="0754C82D" w14:textId="52DC5270" w:rsidR="008B3ACB" w:rsidRPr="008B3ACB" w:rsidRDefault="008B3ACB" w:rsidP="00C20AAA">
            <w:pPr>
              <w:pStyle w:val="Default"/>
              <w:jc w:val="both"/>
              <w:rPr>
                <w:sz w:val="16"/>
                <w:szCs w:val="16"/>
              </w:rPr>
            </w:pPr>
            <w:r w:rsidRPr="008B3ACB">
              <w:rPr>
                <w:strike/>
                <w:sz w:val="16"/>
                <w:szCs w:val="16"/>
              </w:rPr>
              <w:t xml:space="preserve"> </w:t>
            </w:r>
          </w:p>
        </w:tc>
      </w:tr>
      <w:tr w:rsidR="00B705B0" w:rsidRPr="00B705B0" w14:paraId="3649180C" w14:textId="77777777" w:rsidTr="008B3ACB">
        <w:trPr>
          <w:gridAfter w:val="1"/>
          <w:wAfter w:w="19" w:type="dxa"/>
          <w:trHeight w:val="3558"/>
        </w:trPr>
        <w:tc>
          <w:tcPr>
            <w:tcW w:w="3020" w:type="dxa"/>
            <w:gridSpan w:val="2"/>
          </w:tcPr>
          <w:p w14:paraId="53DE8F19" w14:textId="77777777" w:rsidR="00B705B0" w:rsidRPr="00B705B0" w:rsidRDefault="00B705B0">
            <w:pPr>
              <w:pStyle w:val="Default"/>
              <w:rPr>
                <w:sz w:val="16"/>
                <w:szCs w:val="16"/>
              </w:rPr>
            </w:pPr>
            <w:r w:rsidRPr="00B705B0">
              <w:rPr>
                <w:b/>
                <w:bCs/>
                <w:sz w:val="16"/>
                <w:szCs w:val="16"/>
              </w:rPr>
              <w:t xml:space="preserve">6.3 Les politiques économiques de l’État et de l’Europe </w:t>
            </w:r>
          </w:p>
        </w:tc>
        <w:tc>
          <w:tcPr>
            <w:tcW w:w="3012" w:type="dxa"/>
            <w:gridSpan w:val="2"/>
          </w:tcPr>
          <w:p w14:paraId="1C249B82" w14:textId="79144474" w:rsidR="00B705B0" w:rsidRPr="00B705B0" w:rsidRDefault="00B705B0">
            <w:pPr>
              <w:pStyle w:val="Default"/>
              <w:rPr>
                <w:sz w:val="16"/>
                <w:szCs w:val="16"/>
              </w:rPr>
            </w:pPr>
            <w:r w:rsidRPr="00B705B0">
              <w:rPr>
                <w:sz w:val="16"/>
                <w:szCs w:val="16"/>
              </w:rPr>
              <w:t xml:space="preserve">Afin de stabiliser les grands agrégats macroéconomiques (produit intérieur brut, emploi, stabilité des prix, commerce extérieur), l’État peut mettre en œuvre des politiques d’offre ou de demande fondées, par exemple, sur l’abaissement des coûts des facteurs de production, l’aide à l’innovation, les incitations financières, l’abaissement ou la hausse des impôts directs, indirects et des aides sociales. </w:t>
            </w:r>
          </w:p>
          <w:p w14:paraId="436E9382" w14:textId="77777777" w:rsidR="00B705B0" w:rsidRPr="00B705B0" w:rsidRDefault="00B705B0">
            <w:pPr>
              <w:pStyle w:val="Default"/>
              <w:rPr>
                <w:sz w:val="16"/>
                <w:szCs w:val="16"/>
              </w:rPr>
            </w:pPr>
            <w:r w:rsidRPr="00B705B0">
              <w:rPr>
                <w:sz w:val="16"/>
                <w:szCs w:val="16"/>
              </w:rPr>
              <w:t xml:space="preserve">Les politiques à plus long terme visent, quant à elles, à modifier durablement le fonctionnement du système économique. Elles doivent créer un cadre favorable à la croissance et au développement d’un territoire. Parmi ces politiques, on trouve notamment les politiques de remise à la concurrence d’anciens monopoles d’État, la politique de la concurrence et de lutte contre les cartels, l’économie de la connaissance, la politique de recherche et d’innovation. </w:t>
            </w:r>
          </w:p>
          <w:p w14:paraId="041DAE6F" w14:textId="0E0C05BA" w:rsidR="00B705B0" w:rsidRPr="00B705B0" w:rsidRDefault="00B705B0">
            <w:pPr>
              <w:pStyle w:val="Default"/>
              <w:rPr>
                <w:sz w:val="16"/>
                <w:szCs w:val="16"/>
              </w:rPr>
            </w:pPr>
          </w:p>
        </w:tc>
        <w:tc>
          <w:tcPr>
            <w:tcW w:w="3012" w:type="dxa"/>
            <w:gridSpan w:val="3"/>
          </w:tcPr>
          <w:p w14:paraId="5F8CA96C" w14:textId="77777777" w:rsidR="00B705B0" w:rsidRPr="00B705B0" w:rsidRDefault="00B705B0">
            <w:pPr>
              <w:pStyle w:val="Default"/>
              <w:rPr>
                <w:sz w:val="16"/>
                <w:szCs w:val="16"/>
              </w:rPr>
            </w:pPr>
            <w:r w:rsidRPr="00B705B0">
              <w:rPr>
                <w:sz w:val="16"/>
                <w:szCs w:val="16"/>
              </w:rPr>
              <w:t xml:space="preserve">Les politiques de la concurrence. </w:t>
            </w:r>
          </w:p>
          <w:p w14:paraId="3A0D963B" w14:textId="6B1B36A3" w:rsidR="00B705B0" w:rsidRPr="00B705B0" w:rsidRDefault="00B705B0">
            <w:pPr>
              <w:pStyle w:val="Default"/>
              <w:rPr>
                <w:sz w:val="16"/>
                <w:szCs w:val="16"/>
              </w:rPr>
            </w:pPr>
          </w:p>
        </w:tc>
      </w:tr>
    </w:tbl>
    <w:p w14:paraId="10C34430" w14:textId="77777777" w:rsidR="00B705B0" w:rsidRDefault="00B705B0" w:rsidP="009A4628">
      <w:pPr>
        <w:spacing w:after="0" w:line="240" w:lineRule="auto"/>
        <w:rPr>
          <w:rFonts w:ascii="Arial" w:hAnsi="Arial" w:cs="Arial"/>
          <w:sz w:val="24"/>
          <w:szCs w:val="24"/>
        </w:rPr>
      </w:pPr>
    </w:p>
    <w:p w14:paraId="2AECF67C" w14:textId="77777777" w:rsidR="00B705B0" w:rsidRDefault="00B705B0" w:rsidP="009A4628">
      <w:pPr>
        <w:spacing w:after="0" w:line="240" w:lineRule="auto"/>
        <w:rPr>
          <w:rFonts w:ascii="Arial" w:hAnsi="Arial" w:cs="Arial"/>
          <w:sz w:val="24"/>
          <w:szCs w:val="24"/>
        </w:rPr>
      </w:pPr>
    </w:p>
    <w:p w14:paraId="224CB427" w14:textId="6A8D9453" w:rsidR="00B705B0" w:rsidRDefault="00B705B0">
      <w:pPr>
        <w:rPr>
          <w:rFonts w:ascii="Arial" w:hAnsi="Arial" w:cs="Arial"/>
          <w:sz w:val="24"/>
          <w:szCs w:val="24"/>
        </w:rPr>
      </w:pPr>
      <w:r>
        <w:rPr>
          <w:rFonts w:ascii="Arial" w:hAnsi="Arial" w:cs="Arial"/>
          <w:sz w:val="24"/>
          <w:szCs w:val="24"/>
        </w:rPr>
        <w:br w:type="page"/>
      </w:r>
    </w:p>
    <w:p w14:paraId="7ABB34D1" w14:textId="2A5BA725" w:rsidR="00232733" w:rsidRPr="00232733" w:rsidRDefault="00232733" w:rsidP="002259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24"/>
          <w:szCs w:val="24"/>
          <w:lang w:eastAsia="fr-FR"/>
        </w:rPr>
      </w:pPr>
      <w:r w:rsidRPr="00232733">
        <w:rPr>
          <w:rFonts w:ascii="Arial" w:eastAsia="Times New Roman" w:hAnsi="Arial" w:cs="Arial"/>
          <w:b/>
          <w:bCs/>
          <w:color w:val="000000"/>
          <w:sz w:val="24"/>
          <w:szCs w:val="24"/>
          <w:lang w:eastAsia="fr-FR"/>
        </w:rPr>
        <w:lastRenderedPageBreak/>
        <w:t>Élément</w:t>
      </w:r>
      <w:bookmarkStart w:id="0" w:name="_GoBack"/>
      <w:bookmarkEnd w:id="0"/>
      <w:r w:rsidRPr="00232733">
        <w:rPr>
          <w:rFonts w:ascii="Arial" w:eastAsia="Times New Roman" w:hAnsi="Arial" w:cs="Arial"/>
          <w:b/>
          <w:bCs/>
          <w:color w:val="000000"/>
          <w:sz w:val="24"/>
          <w:szCs w:val="24"/>
          <w:lang w:eastAsia="fr-FR"/>
        </w:rPr>
        <w:t>s de corrigé Économie</w:t>
      </w:r>
    </w:p>
    <w:p w14:paraId="54802CF0" w14:textId="77777777" w:rsidR="009A4628" w:rsidRDefault="009A4628" w:rsidP="009A4628">
      <w:pPr>
        <w:spacing w:after="0" w:line="240" w:lineRule="auto"/>
        <w:rPr>
          <w:rFonts w:ascii="Arial" w:hAnsi="Arial" w:cs="Arial"/>
          <w:sz w:val="24"/>
          <w:szCs w:val="24"/>
        </w:rPr>
      </w:pPr>
    </w:p>
    <w:p w14:paraId="41230C37" w14:textId="77777777" w:rsidR="009C0DBC" w:rsidRPr="009C0DBC" w:rsidRDefault="009C0DBC" w:rsidP="009C0DBC">
      <w:pPr>
        <w:pStyle w:val="Paragraphedeliste"/>
        <w:numPr>
          <w:ilvl w:val="0"/>
          <w:numId w:val="11"/>
        </w:numPr>
        <w:spacing w:after="0" w:line="240" w:lineRule="auto"/>
        <w:jc w:val="both"/>
        <w:rPr>
          <w:rFonts w:ascii="Arial" w:hAnsi="Arial" w:cs="Arial"/>
          <w:b/>
          <w:sz w:val="24"/>
          <w:szCs w:val="24"/>
        </w:rPr>
      </w:pPr>
      <w:r w:rsidRPr="009C0DBC">
        <w:rPr>
          <w:rFonts w:ascii="Arial" w:hAnsi="Arial" w:cs="Arial"/>
          <w:b/>
          <w:sz w:val="24"/>
          <w:szCs w:val="24"/>
        </w:rPr>
        <w:t>Formulez le calcul de l’indice qui permet de mesurer le degré de concentration du marché des montres connectées.</w:t>
      </w:r>
    </w:p>
    <w:p w14:paraId="440B1829" w14:textId="4EE74E9F" w:rsidR="00C547BD" w:rsidRDefault="00C547BD" w:rsidP="009C0DBC">
      <w:pPr>
        <w:pStyle w:val="Paragraphedeliste"/>
        <w:spacing w:after="0" w:line="240" w:lineRule="auto"/>
        <w:ind w:left="0"/>
        <w:jc w:val="both"/>
        <w:rPr>
          <w:rFonts w:ascii="Arial" w:hAnsi="Arial" w:cs="Arial"/>
          <w:sz w:val="24"/>
          <w:szCs w:val="24"/>
        </w:rPr>
      </w:pPr>
    </w:p>
    <w:p w14:paraId="1ABFFF1C" w14:textId="47D9D754" w:rsidR="009C0DBC" w:rsidRPr="009C0DBC" w:rsidRDefault="009C0DBC" w:rsidP="009C0DBC">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9C0DBC">
        <w:rPr>
          <w:rFonts w:ascii="Arial" w:hAnsi="Arial" w:cs="Arial"/>
          <w:i/>
          <w:sz w:val="24"/>
          <w:szCs w:val="24"/>
        </w:rPr>
        <w:t>On attend du candidat qu’il démontre sa connaissance du calcul d’un indice de concentration d’un marché (capacité du programme). Pour cela, l’annexe 2 lui explique le calcul de l’indice IHH</w:t>
      </w:r>
      <w:r>
        <w:rPr>
          <w:rFonts w:ascii="Arial" w:hAnsi="Arial" w:cs="Arial"/>
          <w:i/>
          <w:sz w:val="24"/>
          <w:szCs w:val="24"/>
        </w:rPr>
        <w:t xml:space="preserve"> (l’indice IHH n’est pas une notion du programme, le professeur peut avoir choisi d’utiliser un autre indice pour traiter cette capacité)</w:t>
      </w:r>
      <w:r w:rsidRPr="009C0DBC">
        <w:rPr>
          <w:rFonts w:ascii="Arial" w:hAnsi="Arial" w:cs="Arial"/>
          <w:i/>
          <w:sz w:val="24"/>
          <w:szCs w:val="24"/>
        </w:rPr>
        <w:t>. L’élève doit être capable de poser le bon calcul permettant d’aboutir à l’indice dont le résultat se trouve en annexe 1.</w:t>
      </w:r>
    </w:p>
    <w:p w14:paraId="081BAC47" w14:textId="549FC3D4" w:rsidR="009C0DBC" w:rsidRPr="009C0DBC" w:rsidRDefault="009C0DBC" w:rsidP="009C0DBC">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9C0DBC">
        <w:rPr>
          <w:rFonts w:ascii="Arial" w:hAnsi="Arial" w:cs="Arial"/>
          <w:i/>
          <w:sz w:val="24"/>
          <w:szCs w:val="24"/>
        </w:rPr>
        <w:t>Le verbe directeur « formuler » indique qu’il s’agit de poser le calcul en écrivant explicitement la formule du calcul.</w:t>
      </w:r>
    </w:p>
    <w:p w14:paraId="72A54158" w14:textId="77777777" w:rsidR="009C0DBC" w:rsidRDefault="009C0DBC" w:rsidP="009C0DBC">
      <w:pPr>
        <w:pStyle w:val="Paragraphedeliste"/>
        <w:spacing w:after="0" w:line="240" w:lineRule="auto"/>
        <w:ind w:left="0"/>
        <w:jc w:val="both"/>
        <w:rPr>
          <w:rFonts w:ascii="Arial" w:hAnsi="Arial" w:cs="Arial"/>
          <w:sz w:val="24"/>
          <w:szCs w:val="24"/>
        </w:rPr>
      </w:pPr>
    </w:p>
    <w:p w14:paraId="78AAAD70" w14:textId="0B268F68" w:rsidR="00C547BD" w:rsidRDefault="00C547BD" w:rsidP="009C0DBC">
      <w:pPr>
        <w:pStyle w:val="Paragraphedeliste"/>
        <w:spacing w:after="0" w:line="240" w:lineRule="auto"/>
        <w:ind w:left="0"/>
        <w:jc w:val="both"/>
        <w:rPr>
          <w:rFonts w:ascii="Arial" w:hAnsi="Arial" w:cs="Arial"/>
          <w:sz w:val="24"/>
          <w:szCs w:val="24"/>
        </w:rPr>
      </w:pPr>
      <w:r>
        <w:rPr>
          <w:rFonts w:ascii="Arial" w:hAnsi="Arial" w:cs="Arial"/>
          <w:sz w:val="24"/>
          <w:szCs w:val="24"/>
        </w:rPr>
        <w:t>Le degré de concentration d’un marché s’obtient en calculant l’IHH (Indice Herfindahl-Hirschmann. Il s’agit de partir du pourcentage des parts de marché et de les mettre au carré et de les additionner</w:t>
      </w:r>
      <w:r w:rsidR="009C0DBC">
        <w:rPr>
          <w:rFonts w:ascii="Arial" w:hAnsi="Arial" w:cs="Arial"/>
          <w:sz w:val="24"/>
          <w:szCs w:val="24"/>
        </w:rPr>
        <w:t>,</w:t>
      </w:r>
      <w:r>
        <w:rPr>
          <w:rFonts w:ascii="Arial" w:hAnsi="Arial" w:cs="Arial"/>
          <w:sz w:val="24"/>
          <w:szCs w:val="24"/>
        </w:rPr>
        <w:t xml:space="preserve"> soit : </w:t>
      </w:r>
    </w:p>
    <w:p w14:paraId="46CCAC01" w14:textId="77777777" w:rsidR="00C547BD" w:rsidRDefault="00C547BD" w:rsidP="009C0DBC">
      <w:pPr>
        <w:pStyle w:val="Paragraphedeliste"/>
        <w:spacing w:after="0" w:line="240" w:lineRule="auto"/>
        <w:ind w:left="0"/>
        <w:jc w:val="both"/>
        <w:rPr>
          <w:rFonts w:ascii="Arial" w:hAnsi="Arial" w:cs="Arial"/>
          <w:sz w:val="24"/>
          <w:szCs w:val="24"/>
        </w:rPr>
      </w:pPr>
    </w:p>
    <w:p w14:paraId="34EF8831" w14:textId="6DB18925" w:rsidR="00C547BD" w:rsidRPr="001F4036" w:rsidRDefault="00C547BD" w:rsidP="009C0DBC">
      <w:pPr>
        <w:pStyle w:val="Paragraphedeliste"/>
        <w:spacing w:after="0" w:line="240" w:lineRule="auto"/>
        <w:ind w:left="0"/>
        <w:jc w:val="both"/>
        <w:rPr>
          <w:rFonts w:ascii="Arial" w:hAnsi="Arial" w:cs="Arial"/>
          <w:sz w:val="24"/>
          <w:szCs w:val="24"/>
        </w:rPr>
      </w:pPr>
      <w:r>
        <w:rPr>
          <w:rFonts w:ascii="Arial" w:hAnsi="Arial" w:cs="Arial"/>
          <w:sz w:val="24"/>
          <w:szCs w:val="24"/>
        </w:rPr>
        <w:t>35</w:t>
      </w:r>
      <w:r w:rsidRPr="001F4036">
        <w:rPr>
          <w:rFonts w:ascii="Arial" w:hAnsi="Arial" w:cs="Arial"/>
          <w:sz w:val="24"/>
          <w:szCs w:val="24"/>
          <w:vertAlign w:val="superscript"/>
        </w:rPr>
        <w:t>2</w:t>
      </w:r>
      <w:r w:rsidR="009C0DBC">
        <w:rPr>
          <w:rFonts w:ascii="Arial" w:hAnsi="Arial" w:cs="Arial"/>
          <w:sz w:val="24"/>
          <w:szCs w:val="24"/>
          <w:vertAlign w:val="superscript"/>
        </w:rPr>
        <w:t xml:space="preserve"> </w:t>
      </w:r>
      <w:r>
        <w:rPr>
          <w:rFonts w:ascii="Arial" w:hAnsi="Arial" w:cs="Arial"/>
          <w:sz w:val="24"/>
          <w:szCs w:val="24"/>
        </w:rPr>
        <w:t>+ 11</w:t>
      </w:r>
      <w:r w:rsidRPr="001F4036">
        <w:rPr>
          <w:rFonts w:ascii="Arial" w:hAnsi="Arial" w:cs="Arial"/>
          <w:sz w:val="24"/>
          <w:szCs w:val="24"/>
          <w:vertAlign w:val="superscript"/>
        </w:rPr>
        <w:t xml:space="preserve">2 </w:t>
      </w:r>
      <w:r>
        <w:rPr>
          <w:rFonts w:ascii="Arial" w:hAnsi="Arial" w:cs="Arial"/>
          <w:sz w:val="24"/>
          <w:szCs w:val="24"/>
        </w:rPr>
        <w:t>+ 9</w:t>
      </w:r>
      <w:r w:rsidRPr="001F4036">
        <w:rPr>
          <w:rFonts w:ascii="Arial" w:hAnsi="Arial" w:cs="Arial"/>
          <w:sz w:val="24"/>
          <w:szCs w:val="24"/>
          <w:vertAlign w:val="superscript"/>
        </w:rPr>
        <w:t>2</w:t>
      </w:r>
      <w:r>
        <w:rPr>
          <w:rFonts w:ascii="Arial" w:hAnsi="Arial" w:cs="Arial"/>
          <w:sz w:val="24"/>
          <w:szCs w:val="24"/>
        </w:rPr>
        <w:t xml:space="preserve"> + 5</w:t>
      </w:r>
      <w:r w:rsidRPr="001F4036">
        <w:rPr>
          <w:rFonts w:ascii="Arial" w:hAnsi="Arial" w:cs="Arial"/>
          <w:sz w:val="24"/>
          <w:szCs w:val="24"/>
          <w:vertAlign w:val="superscript"/>
        </w:rPr>
        <w:t>2</w:t>
      </w:r>
      <w:r>
        <w:rPr>
          <w:rFonts w:ascii="Arial" w:hAnsi="Arial" w:cs="Arial"/>
          <w:sz w:val="24"/>
          <w:szCs w:val="24"/>
        </w:rPr>
        <w:t xml:space="preserve"> + 4</w:t>
      </w:r>
      <w:r w:rsidRPr="001F4036">
        <w:rPr>
          <w:rFonts w:ascii="Arial" w:hAnsi="Arial" w:cs="Arial"/>
          <w:sz w:val="24"/>
          <w:szCs w:val="24"/>
          <w:vertAlign w:val="superscript"/>
        </w:rPr>
        <w:t>2</w:t>
      </w:r>
      <w:r>
        <w:rPr>
          <w:rFonts w:ascii="Arial" w:hAnsi="Arial" w:cs="Arial"/>
          <w:sz w:val="24"/>
          <w:szCs w:val="24"/>
        </w:rPr>
        <w:t xml:space="preserve"> + 4</w:t>
      </w:r>
      <w:r w:rsidRPr="001F4036">
        <w:rPr>
          <w:rFonts w:ascii="Arial" w:hAnsi="Arial" w:cs="Arial"/>
          <w:sz w:val="24"/>
          <w:szCs w:val="24"/>
          <w:vertAlign w:val="superscript"/>
        </w:rPr>
        <w:t xml:space="preserve">2 </w:t>
      </w:r>
      <w:r>
        <w:rPr>
          <w:rFonts w:ascii="Arial" w:hAnsi="Arial" w:cs="Arial"/>
          <w:sz w:val="24"/>
          <w:szCs w:val="24"/>
        </w:rPr>
        <w:t>+ 2.5</w:t>
      </w:r>
      <w:r w:rsidRPr="001F4036">
        <w:rPr>
          <w:rFonts w:ascii="Arial" w:hAnsi="Arial" w:cs="Arial"/>
          <w:sz w:val="24"/>
          <w:szCs w:val="24"/>
          <w:vertAlign w:val="superscript"/>
        </w:rPr>
        <w:t>2</w:t>
      </w:r>
      <w:r>
        <w:rPr>
          <w:rFonts w:ascii="Arial" w:hAnsi="Arial" w:cs="Arial"/>
          <w:sz w:val="24"/>
          <w:szCs w:val="24"/>
        </w:rPr>
        <w:t xml:space="preserve"> + 1.5</w:t>
      </w:r>
      <w:r w:rsidRPr="001F4036">
        <w:rPr>
          <w:rFonts w:ascii="Arial" w:hAnsi="Arial" w:cs="Arial"/>
          <w:sz w:val="24"/>
          <w:szCs w:val="24"/>
          <w:vertAlign w:val="superscript"/>
        </w:rPr>
        <w:t>2</w:t>
      </w:r>
      <w:r>
        <w:rPr>
          <w:rFonts w:ascii="Arial" w:hAnsi="Arial" w:cs="Arial"/>
          <w:sz w:val="24"/>
          <w:szCs w:val="24"/>
        </w:rPr>
        <w:t xml:space="preserve"> + 28</w:t>
      </w:r>
      <w:r w:rsidRPr="001F4036">
        <w:rPr>
          <w:rFonts w:ascii="Arial" w:hAnsi="Arial" w:cs="Arial"/>
          <w:sz w:val="24"/>
          <w:szCs w:val="24"/>
          <w:vertAlign w:val="superscript"/>
        </w:rPr>
        <w:t>2</w:t>
      </w:r>
      <w:r w:rsidR="009C0DBC">
        <w:rPr>
          <w:rFonts w:ascii="Arial" w:hAnsi="Arial" w:cs="Arial"/>
          <w:sz w:val="24"/>
          <w:szCs w:val="24"/>
        </w:rPr>
        <w:t xml:space="preserve"> = 2276,</w:t>
      </w:r>
      <w:r>
        <w:rPr>
          <w:rFonts w:ascii="Arial" w:hAnsi="Arial" w:cs="Arial"/>
          <w:sz w:val="24"/>
          <w:szCs w:val="24"/>
        </w:rPr>
        <w:t>5</w:t>
      </w:r>
    </w:p>
    <w:p w14:paraId="644893DE" w14:textId="77777777" w:rsidR="00C547BD" w:rsidRPr="001F4036" w:rsidRDefault="00C547BD" w:rsidP="009C0DBC">
      <w:pPr>
        <w:pStyle w:val="Paragraphedeliste"/>
        <w:spacing w:after="0" w:line="240" w:lineRule="auto"/>
        <w:ind w:left="0"/>
        <w:jc w:val="both"/>
        <w:rPr>
          <w:rFonts w:ascii="Arial" w:hAnsi="Arial" w:cs="Arial"/>
          <w:sz w:val="24"/>
          <w:szCs w:val="24"/>
        </w:rPr>
      </w:pPr>
    </w:p>
    <w:p w14:paraId="4F5DA435" w14:textId="77777777" w:rsidR="00C547BD" w:rsidRDefault="00C547BD" w:rsidP="009C0DBC">
      <w:pPr>
        <w:pStyle w:val="Paragraphedeliste"/>
        <w:spacing w:after="0" w:line="240" w:lineRule="auto"/>
        <w:ind w:left="0"/>
        <w:jc w:val="both"/>
        <w:rPr>
          <w:rFonts w:ascii="Arial" w:hAnsi="Arial" w:cs="Arial"/>
          <w:sz w:val="24"/>
          <w:szCs w:val="24"/>
        </w:rPr>
      </w:pPr>
    </w:p>
    <w:p w14:paraId="16AC49C6" w14:textId="7B5D5D1A" w:rsidR="009C0DBC" w:rsidRPr="009C0DBC" w:rsidRDefault="009C0DBC" w:rsidP="009C0DBC">
      <w:pPr>
        <w:pStyle w:val="Paragraphedeliste"/>
        <w:numPr>
          <w:ilvl w:val="0"/>
          <w:numId w:val="11"/>
        </w:numPr>
        <w:spacing w:after="0" w:line="240" w:lineRule="auto"/>
        <w:jc w:val="both"/>
        <w:rPr>
          <w:rFonts w:ascii="Arial" w:hAnsi="Arial" w:cs="Arial"/>
          <w:b/>
          <w:sz w:val="24"/>
          <w:szCs w:val="24"/>
        </w:rPr>
      </w:pPr>
      <w:r w:rsidRPr="009C0DBC">
        <w:rPr>
          <w:rFonts w:ascii="Arial" w:hAnsi="Arial" w:cs="Arial"/>
          <w:b/>
          <w:sz w:val="24"/>
          <w:szCs w:val="24"/>
        </w:rPr>
        <w:t>Caractérisez la structure du marché des montres connectées</w:t>
      </w:r>
      <w:r>
        <w:rPr>
          <w:rFonts w:ascii="Arial" w:hAnsi="Arial" w:cs="Arial"/>
          <w:b/>
          <w:sz w:val="24"/>
          <w:szCs w:val="24"/>
        </w:rPr>
        <w:t>.</w:t>
      </w:r>
    </w:p>
    <w:p w14:paraId="57D83C30" w14:textId="356AE83E" w:rsidR="00C547BD" w:rsidRDefault="00C547BD" w:rsidP="009C0DBC">
      <w:pPr>
        <w:pStyle w:val="Paragraphedeliste"/>
        <w:spacing w:after="0" w:line="240" w:lineRule="auto"/>
        <w:ind w:left="0"/>
        <w:jc w:val="both"/>
        <w:rPr>
          <w:rFonts w:ascii="Arial" w:hAnsi="Arial" w:cs="Arial"/>
          <w:sz w:val="24"/>
          <w:szCs w:val="24"/>
        </w:rPr>
      </w:pPr>
    </w:p>
    <w:p w14:paraId="615C6BB0" w14:textId="628145A5" w:rsidR="009C0DBC" w:rsidRPr="00E3202E" w:rsidRDefault="009C0DBC" w:rsidP="00E3202E">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E3202E">
        <w:rPr>
          <w:rFonts w:ascii="Arial" w:hAnsi="Arial" w:cs="Arial"/>
          <w:i/>
          <w:sz w:val="24"/>
          <w:szCs w:val="24"/>
        </w:rPr>
        <w:t xml:space="preserve">La capacité du programme évaluée par cette question demande au candidat de caractériser la </w:t>
      </w:r>
      <w:r w:rsidR="001332E6" w:rsidRPr="00E3202E">
        <w:rPr>
          <w:rFonts w:ascii="Arial" w:hAnsi="Arial" w:cs="Arial"/>
          <w:i/>
          <w:sz w:val="24"/>
          <w:szCs w:val="24"/>
        </w:rPr>
        <w:t>concentration d’</w:t>
      </w:r>
      <w:r w:rsidR="00E3202E" w:rsidRPr="00E3202E">
        <w:rPr>
          <w:rFonts w:ascii="Arial" w:hAnsi="Arial" w:cs="Arial"/>
          <w:i/>
          <w:sz w:val="24"/>
          <w:szCs w:val="24"/>
        </w:rPr>
        <w:t>un marché</w:t>
      </w:r>
      <w:r w:rsidR="001332E6" w:rsidRPr="00E3202E">
        <w:rPr>
          <w:rFonts w:ascii="Arial" w:hAnsi="Arial" w:cs="Arial"/>
          <w:i/>
          <w:sz w:val="24"/>
          <w:szCs w:val="24"/>
        </w:rPr>
        <w:t>. Pour ce faire, il doit savoir analyser l’indice de concentration du marché. Quelle que soit sa réponse à la question précédente, l’indice est donné dans l’annexe 1. Il s’agit pour le candidat de l’interpréter correctement. Pour cela, l’annexe 2 lui présente une grille de lecture de l’indice IHH.</w:t>
      </w:r>
    </w:p>
    <w:p w14:paraId="25FA3E87" w14:textId="5F537B19" w:rsidR="001332E6" w:rsidRPr="00E3202E" w:rsidRDefault="001332E6" w:rsidP="00E3202E">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E3202E">
        <w:rPr>
          <w:rFonts w:ascii="Arial" w:hAnsi="Arial" w:cs="Arial"/>
          <w:i/>
          <w:sz w:val="24"/>
          <w:szCs w:val="24"/>
        </w:rPr>
        <w:t xml:space="preserve">Le verbe directeur « caractériser » indique que la réponse doit </w:t>
      </w:r>
      <w:r w:rsidR="00E3202E" w:rsidRPr="00E3202E">
        <w:rPr>
          <w:rFonts w:ascii="Arial" w:hAnsi="Arial" w:cs="Arial"/>
          <w:i/>
          <w:sz w:val="24"/>
          <w:szCs w:val="24"/>
        </w:rPr>
        <w:t>explicitement nommer une structure type (monopole, oligopole ou concurrence) en justifiant ce choix.</w:t>
      </w:r>
    </w:p>
    <w:p w14:paraId="4D4F91E0" w14:textId="77777777" w:rsidR="009C0DBC" w:rsidRDefault="009C0DBC" w:rsidP="009C0DBC">
      <w:pPr>
        <w:pStyle w:val="Paragraphedeliste"/>
        <w:spacing w:after="0" w:line="240" w:lineRule="auto"/>
        <w:ind w:left="0"/>
        <w:jc w:val="both"/>
        <w:rPr>
          <w:rFonts w:ascii="Arial" w:hAnsi="Arial" w:cs="Arial"/>
          <w:sz w:val="24"/>
          <w:szCs w:val="24"/>
        </w:rPr>
      </w:pPr>
    </w:p>
    <w:p w14:paraId="1D89F22E" w14:textId="77777777" w:rsidR="00C547BD" w:rsidRDefault="00C547BD" w:rsidP="009C0DBC">
      <w:pPr>
        <w:pStyle w:val="Paragraphedeliste"/>
        <w:spacing w:after="0" w:line="240" w:lineRule="auto"/>
        <w:ind w:left="0"/>
        <w:jc w:val="both"/>
        <w:rPr>
          <w:rFonts w:ascii="Arial" w:hAnsi="Arial" w:cs="Arial"/>
          <w:sz w:val="24"/>
          <w:szCs w:val="24"/>
        </w:rPr>
      </w:pPr>
      <w:r>
        <w:rPr>
          <w:rFonts w:ascii="Arial" w:hAnsi="Arial" w:cs="Arial"/>
          <w:sz w:val="24"/>
          <w:szCs w:val="24"/>
        </w:rPr>
        <w:t xml:space="preserve">Le marché des montres connectées présente un IHH supérieur à 2000, il s’agit donc d’un marché très concentré c’est-à-dire faiblement concurrentiel.  </w:t>
      </w:r>
    </w:p>
    <w:p w14:paraId="501C8209" w14:textId="2E26CDAA" w:rsidR="00C547BD" w:rsidRDefault="00C547BD" w:rsidP="009C0DBC">
      <w:pPr>
        <w:pStyle w:val="Paragraphedeliste"/>
        <w:spacing w:after="0" w:line="240" w:lineRule="auto"/>
        <w:ind w:left="0"/>
        <w:jc w:val="both"/>
        <w:rPr>
          <w:rFonts w:ascii="Arial" w:hAnsi="Arial" w:cs="Arial"/>
          <w:sz w:val="24"/>
          <w:szCs w:val="24"/>
        </w:rPr>
      </w:pPr>
    </w:p>
    <w:p w14:paraId="21ACCD46" w14:textId="77777777" w:rsidR="00E41A1B" w:rsidRDefault="00E41A1B" w:rsidP="009C0DBC">
      <w:pPr>
        <w:pStyle w:val="Paragraphedeliste"/>
        <w:spacing w:after="0" w:line="240" w:lineRule="auto"/>
        <w:ind w:left="0"/>
        <w:jc w:val="both"/>
        <w:rPr>
          <w:rFonts w:ascii="Arial" w:hAnsi="Arial" w:cs="Arial"/>
          <w:sz w:val="24"/>
          <w:szCs w:val="24"/>
        </w:rPr>
      </w:pPr>
    </w:p>
    <w:p w14:paraId="5AF6760D" w14:textId="77777777" w:rsidR="00EC38F5" w:rsidRPr="00EC38F5" w:rsidRDefault="00EC38F5" w:rsidP="00EC38F5">
      <w:pPr>
        <w:pStyle w:val="Paragraphedeliste"/>
        <w:numPr>
          <w:ilvl w:val="0"/>
          <w:numId w:val="11"/>
        </w:numPr>
        <w:spacing w:after="0" w:line="240" w:lineRule="auto"/>
        <w:jc w:val="both"/>
        <w:rPr>
          <w:rFonts w:ascii="Arial" w:hAnsi="Arial" w:cs="Arial"/>
          <w:b/>
          <w:sz w:val="24"/>
          <w:szCs w:val="24"/>
        </w:rPr>
      </w:pPr>
      <w:r w:rsidRPr="00EC38F5">
        <w:rPr>
          <w:rFonts w:ascii="Arial" w:hAnsi="Arial" w:cs="Arial"/>
          <w:b/>
          <w:sz w:val="24"/>
          <w:szCs w:val="24"/>
        </w:rPr>
        <w:t xml:space="preserve">Présentez les stratégies mises en œuvre par les entreprises pour diminuer l’intensité concurrentielle. </w:t>
      </w:r>
    </w:p>
    <w:p w14:paraId="7D9760C7" w14:textId="20E8E477" w:rsidR="00C547BD" w:rsidRDefault="00C547BD" w:rsidP="00EC38F5">
      <w:pPr>
        <w:pStyle w:val="Paragraphedeliste"/>
        <w:spacing w:after="0" w:line="240" w:lineRule="auto"/>
        <w:ind w:left="0"/>
        <w:jc w:val="both"/>
        <w:rPr>
          <w:rFonts w:ascii="Arial" w:hAnsi="Arial" w:cs="Arial"/>
          <w:sz w:val="24"/>
          <w:szCs w:val="24"/>
        </w:rPr>
      </w:pPr>
    </w:p>
    <w:p w14:paraId="21916ACB" w14:textId="40A703D2" w:rsidR="00EC38F5" w:rsidRPr="008100A7" w:rsidRDefault="00EC38F5" w:rsidP="008100A7">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8100A7">
        <w:rPr>
          <w:rFonts w:ascii="Arial" w:hAnsi="Arial" w:cs="Arial"/>
          <w:i/>
          <w:sz w:val="24"/>
          <w:szCs w:val="24"/>
        </w:rPr>
        <w:t>Cette question repose sur la capacité d’analyse des stratégies de fixation des prix des entreprises en fonction de la concentration du marché, énoncée dans le programme.</w:t>
      </w:r>
      <w:r w:rsidR="00E41A1B" w:rsidRPr="008100A7">
        <w:rPr>
          <w:rFonts w:ascii="Arial" w:hAnsi="Arial" w:cs="Arial"/>
          <w:i/>
          <w:sz w:val="24"/>
          <w:szCs w:val="24"/>
        </w:rPr>
        <w:t xml:space="preserve"> Outre les connaissances du candidat, l</w:t>
      </w:r>
      <w:r w:rsidR="008100A7">
        <w:rPr>
          <w:rFonts w:ascii="Arial" w:hAnsi="Arial" w:cs="Arial"/>
          <w:i/>
          <w:sz w:val="24"/>
          <w:szCs w:val="24"/>
        </w:rPr>
        <w:t xml:space="preserve">es </w:t>
      </w:r>
      <w:r w:rsidR="00E41A1B" w:rsidRPr="008100A7">
        <w:rPr>
          <w:rFonts w:ascii="Arial" w:hAnsi="Arial" w:cs="Arial"/>
          <w:i/>
          <w:sz w:val="24"/>
          <w:szCs w:val="24"/>
        </w:rPr>
        <w:t>annexe</w:t>
      </w:r>
      <w:r w:rsidR="008100A7">
        <w:rPr>
          <w:rFonts w:ascii="Arial" w:hAnsi="Arial" w:cs="Arial"/>
          <w:i/>
          <w:sz w:val="24"/>
          <w:szCs w:val="24"/>
        </w:rPr>
        <w:t>s</w:t>
      </w:r>
      <w:r w:rsidR="00E41A1B" w:rsidRPr="008100A7">
        <w:rPr>
          <w:rFonts w:ascii="Arial" w:hAnsi="Arial" w:cs="Arial"/>
          <w:i/>
          <w:sz w:val="24"/>
          <w:szCs w:val="24"/>
        </w:rPr>
        <w:t xml:space="preserve"> 3</w:t>
      </w:r>
      <w:r w:rsidR="008100A7">
        <w:rPr>
          <w:rFonts w:ascii="Arial" w:hAnsi="Arial" w:cs="Arial"/>
          <w:i/>
          <w:sz w:val="24"/>
          <w:szCs w:val="24"/>
        </w:rPr>
        <w:t xml:space="preserve"> et 5</w:t>
      </w:r>
      <w:r w:rsidR="00E41A1B" w:rsidRPr="008100A7">
        <w:rPr>
          <w:rFonts w:ascii="Arial" w:hAnsi="Arial" w:cs="Arial"/>
          <w:i/>
          <w:sz w:val="24"/>
          <w:szCs w:val="24"/>
        </w:rPr>
        <w:t xml:space="preserve"> donne</w:t>
      </w:r>
      <w:r w:rsidR="008100A7">
        <w:rPr>
          <w:rFonts w:ascii="Arial" w:hAnsi="Arial" w:cs="Arial"/>
          <w:i/>
          <w:sz w:val="24"/>
          <w:szCs w:val="24"/>
        </w:rPr>
        <w:t>nt</w:t>
      </w:r>
      <w:r w:rsidR="00E41A1B" w:rsidRPr="008100A7">
        <w:rPr>
          <w:rFonts w:ascii="Arial" w:hAnsi="Arial" w:cs="Arial"/>
          <w:i/>
          <w:sz w:val="24"/>
          <w:szCs w:val="24"/>
        </w:rPr>
        <w:t xml:space="preserve"> des exemples concrets et l’annexe 4 des pistes d’explication pour la stratégie d’innovation.</w:t>
      </w:r>
    </w:p>
    <w:p w14:paraId="7A135D6D" w14:textId="5B207357" w:rsidR="008100A7" w:rsidRPr="008100A7" w:rsidRDefault="008100A7" w:rsidP="008100A7">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8100A7">
        <w:rPr>
          <w:rFonts w:ascii="Arial" w:hAnsi="Arial" w:cs="Arial"/>
          <w:i/>
          <w:sz w:val="24"/>
          <w:szCs w:val="24"/>
        </w:rPr>
        <w:t>Le verbe directeur « présenter » attend du candidat qu’il expose les stratégies en question, en les nommant et en en décrivant des caractéristiques essentielles avec, si possible, des exemples.</w:t>
      </w:r>
    </w:p>
    <w:p w14:paraId="3228BB6F" w14:textId="77777777" w:rsidR="00EC38F5" w:rsidRDefault="00EC38F5" w:rsidP="00EC38F5">
      <w:pPr>
        <w:pStyle w:val="Paragraphedeliste"/>
        <w:spacing w:after="0" w:line="240" w:lineRule="auto"/>
        <w:ind w:left="0"/>
        <w:jc w:val="both"/>
        <w:rPr>
          <w:rFonts w:ascii="Arial" w:hAnsi="Arial" w:cs="Arial"/>
          <w:sz w:val="24"/>
          <w:szCs w:val="24"/>
        </w:rPr>
      </w:pPr>
    </w:p>
    <w:p w14:paraId="3368A635" w14:textId="77777777" w:rsidR="00C547BD" w:rsidRDefault="00C547BD" w:rsidP="00EC38F5">
      <w:pPr>
        <w:pStyle w:val="Paragraphedeliste"/>
        <w:spacing w:after="0" w:line="240" w:lineRule="auto"/>
        <w:ind w:left="0"/>
        <w:jc w:val="both"/>
        <w:rPr>
          <w:rFonts w:ascii="Arial" w:hAnsi="Arial" w:cs="Arial"/>
          <w:sz w:val="24"/>
          <w:szCs w:val="24"/>
        </w:rPr>
      </w:pPr>
      <w:r>
        <w:rPr>
          <w:rFonts w:ascii="Arial" w:hAnsi="Arial" w:cs="Arial"/>
          <w:sz w:val="24"/>
          <w:szCs w:val="24"/>
        </w:rPr>
        <w:lastRenderedPageBreak/>
        <w:t xml:space="preserve">Les entreprises mettent en œuvre différentes stratégies pour diminuer l’intensité concurrentielle. </w:t>
      </w:r>
    </w:p>
    <w:p w14:paraId="01787F65" w14:textId="4E52FCEE" w:rsidR="00C547BD" w:rsidRPr="008100A7" w:rsidRDefault="008100A7" w:rsidP="00A434A4">
      <w:pPr>
        <w:pStyle w:val="Paragraphedeliste"/>
        <w:numPr>
          <w:ilvl w:val="0"/>
          <w:numId w:val="5"/>
        </w:numPr>
        <w:spacing w:after="0" w:line="240" w:lineRule="auto"/>
        <w:ind w:left="0" w:firstLine="426"/>
        <w:jc w:val="both"/>
        <w:rPr>
          <w:rFonts w:ascii="Arial" w:hAnsi="Arial" w:cs="Arial"/>
          <w:sz w:val="24"/>
          <w:szCs w:val="24"/>
        </w:rPr>
      </w:pPr>
      <w:r w:rsidRPr="008100A7">
        <w:rPr>
          <w:rFonts w:ascii="Arial" w:hAnsi="Arial" w:cs="Arial"/>
          <w:bCs/>
          <w:sz w:val="24"/>
          <w:szCs w:val="24"/>
        </w:rPr>
        <w:t>Stratégie</w:t>
      </w:r>
      <w:r w:rsidR="00C547BD" w:rsidRPr="008100A7">
        <w:rPr>
          <w:rFonts w:ascii="Arial" w:hAnsi="Arial" w:cs="Arial"/>
          <w:bCs/>
          <w:sz w:val="24"/>
          <w:szCs w:val="24"/>
        </w:rPr>
        <w:t xml:space="preserve"> d’innovation</w:t>
      </w:r>
      <w:r w:rsidR="00C547BD" w:rsidRPr="008100A7">
        <w:rPr>
          <w:rFonts w:ascii="Arial" w:hAnsi="Arial" w:cs="Arial"/>
          <w:sz w:val="24"/>
          <w:szCs w:val="24"/>
        </w:rPr>
        <w:t> : elle permet à l’entreprise, pendant un temps, de proposer un produit unique sur le marché, d’obtenir ainsi un monopole temporaire</w:t>
      </w:r>
      <w:r w:rsidRPr="008100A7">
        <w:rPr>
          <w:rFonts w:ascii="Arial" w:hAnsi="Arial" w:cs="Arial"/>
          <w:sz w:val="24"/>
          <w:szCs w:val="24"/>
        </w:rPr>
        <w:t xml:space="preserve"> (</w:t>
      </w:r>
      <w:r w:rsidRPr="008100A7">
        <w:rPr>
          <w:rFonts w:ascii="Arial" w:hAnsi="Arial" w:cs="Arial"/>
          <w:i/>
          <w:sz w:val="24"/>
          <w:szCs w:val="24"/>
        </w:rPr>
        <w:t>Annexe 4</w:t>
      </w:r>
      <w:r w:rsidRPr="008100A7">
        <w:rPr>
          <w:rFonts w:ascii="Arial" w:hAnsi="Arial" w:cs="Arial"/>
          <w:sz w:val="24"/>
          <w:szCs w:val="24"/>
        </w:rPr>
        <w:t>)</w:t>
      </w:r>
      <w:r w:rsidR="00C547BD" w:rsidRPr="008100A7">
        <w:rPr>
          <w:rFonts w:ascii="Arial" w:hAnsi="Arial" w:cs="Arial"/>
          <w:sz w:val="24"/>
          <w:szCs w:val="24"/>
        </w:rPr>
        <w:t xml:space="preserve"> et ainsi d’imposer de</w:t>
      </w:r>
      <w:r w:rsidRPr="008100A7">
        <w:rPr>
          <w:rFonts w:ascii="Arial" w:hAnsi="Arial" w:cs="Arial"/>
          <w:sz w:val="24"/>
          <w:szCs w:val="24"/>
        </w:rPr>
        <w:t>s prix plus élevés que lorsqu’elle</w:t>
      </w:r>
      <w:r w:rsidR="00C547BD" w:rsidRPr="008100A7">
        <w:rPr>
          <w:rFonts w:ascii="Arial" w:hAnsi="Arial" w:cs="Arial"/>
          <w:sz w:val="24"/>
          <w:szCs w:val="24"/>
        </w:rPr>
        <w:t xml:space="preserve"> est en situation de concurrence. Ces innovations peuvent être protégées par un brevet</w:t>
      </w:r>
      <w:r>
        <w:rPr>
          <w:rFonts w:ascii="Arial" w:hAnsi="Arial" w:cs="Arial"/>
          <w:sz w:val="24"/>
          <w:szCs w:val="24"/>
        </w:rPr>
        <w:t xml:space="preserve"> (</w:t>
      </w:r>
      <w:r w:rsidRPr="008100A7">
        <w:rPr>
          <w:rFonts w:ascii="Arial" w:hAnsi="Arial" w:cs="Arial"/>
          <w:i/>
          <w:sz w:val="24"/>
          <w:szCs w:val="24"/>
        </w:rPr>
        <w:t>Annexe 5</w:t>
      </w:r>
      <w:r>
        <w:rPr>
          <w:rFonts w:ascii="Arial" w:hAnsi="Arial" w:cs="Arial"/>
          <w:sz w:val="24"/>
          <w:szCs w:val="24"/>
        </w:rPr>
        <w:t>)</w:t>
      </w:r>
      <w:r w:rsidR="00C547BD" w:rsidRPr="008100A7">
        <w:rPr>
          <w:rFonts w:ascii="Arial" w:hAnsi="Arial" w:cs="Arial"/>
          <w:sz w:val="24"/>
          <w:szCs w:val="24"/>
        </w:rPr>
        <w:t xml:space="preserve">. </w:t>
      </w:r>
    </w:p>
    <w:p w14:paraId="06BBF8B9" w14:textId="20C2CC7A" w:rsidR="00C547BD" w:rsidRDefault="00C547BD" w:rsidP="008100A7">
      <w:pPr>
        <w:pStyle w:val="NormalWeb"/>
        <w:numPr>
          <w:ilvl w:val="0"/>
          <w:numId w:val="5"/>
        </w:numPr>
        <w:shd w:val="clear" w:color="auto" w:fill="FFFFFF"/>
        <w:spacing w:before="0" w:beforeAutospacing="0" w:after="0" w:afterAutospacing="0"/>
        <w:ind w:left="0" w:firstLine="426"/>
        <w:jc w:val="both"/>
        <w:rPr>
          <w:rFonts w:ascii="Arial" w:hAnsi="Arial" w:cs="Arial"/>
          <w:shd w:val="clear" w:color="auto" w:fill="FFFFFF"/>
        </w:rPr>
      </w:pPr>
      <w:r w:rsidRPr="008100A7">
        <w:rPr>
          <w:rFonts w:ascii="Arial" w:hAnsi="Arial" w:cs="Arial"/>
          <w:bCs/>
        </w:rPr>
        <w:t xml:space="preserve">La </w:t>
      </w:r>
      <w:r w:rsidR="008100A7">
        <w:rPr>
          <w:rFonts w:ascii="Arial" w:hAnsi="Arial" w:cs="Arial"/>
          <w:bCs/>
        </w:rPr>
        <w:t>différenciation de</w:t>
      </w:r>
      <w:r w:rsidRPr="008100A7">
        <w:rPr>
          <w:rFonts w:ascii="Arial" w:hAnsi="Arial" w:cs="Arial"/>
          <w:bCs/>
        </w:rPr>
        <w:t>s produits</w:t>
      </w:r>
      <w:r>
        <w:rPr>
          <w:rFonts w:ascii="Arial" w:hAnsi="Arial" w:cs="Arial"/>
        </w:rPr>
        <w:t> : cela repose sur la capacité pour l’entreprise à développer une offre spécifique et différente qui soit valorisée par le client, ce qui permet de bénéficier d’un avantage concurrentiel en vendant le produit plus cher et en bénéficiant de marges plus importantes</w:t>
      </w:r>
      <w:r w:rsidR="008100A7">
        <w:rPr>
          <w:rFonts w:ascii="Arial" w:hAnsi="Arial" w:cs="Arial"/>
        </w:rPr>
        <w:t>.</w:t>
      </w:r>
      <w:r w:rsidR="008100A7" w:rsidRPr="008100A7">
        <w:rPr>
          <w:rFonts w:ascii="Arial" w:hAnsi="Arial" w:cs="Arial"/>
        </w:rPr>
        <w:t xml:space="preserve"> </w:t>
      </w:r>
      <w:r w:rsidR="008100A7">
        <w:rPr>
          <w:rFonts w:ascii="Arial" w:hAnsi="Arial" w:cs="Arial"/>
        </w:rPr>
        <w:t xml:space="preserve">Par exemple les grandes marques de montres connectées se différencient par l’innovation, </w:t>
      </w:r>
      <w:r w:rsidR="008100A7" w:rsidRPr="008100A7">
        <w:rPr>
          <w:rFonts w:ascii="Arial" w:hAnsi="Arial" w:cs="Arial"/>
        </w:rPr>
        <w:t>Apple se concentre sur les fonctionnalités liées à la santé comme l'ECG (Électro Cardio Gramme) et la détection des chutes</w:t>
      </w:r>
      <w:r w:rsidR="008100A7">
        <w:rPr>
          <w:rFonts w:ascii="Arial" w:hAnsi="Arial" w:cs="Arial"/>
        </w:rPr>
        <w:t>. (</w:t>
      </w:r>
      <w:r w:rsidR="008100A7" w:rsidRPr="008100A7">
        <w:rPr>
          <w:rFonts w:ascii="Arial" w:hAnsi="Arial" w:cs="Arial"/>
          <w:i/>
        </w:rPr>
        <w:t>Annexe 3</w:t>
      </w:r>
      <w:r w:rsidR="008100A7" w:rsidRPr="008100A7">
        <w:rPr>
          <w:rFonts w:ascii="Arial" w:hAnsi="Arial" w:cs="Arial"/>
        </w:rPr>
        <w:t>)</w:t>
      </w:r>
      <w:r w:rsidR="008100A7">
        <w:rPr>
          <w:rFonts w:ascii="Arial" w:hAnsi="Arial" w:cs="Arial"/>
        </w:rPr>
        <w:t>.</w:t>
      </w:r>
    </w:p>
    <w:p w14:paraId="74417911" w14:textId="6C2B398D" w:rsidR="00C547BD" w:rsidRDefault="00C547BD" w:rsidP="009A4628">
      <w:pPr>
        <w:pStyle w:val="NormalWeb"/>
        <w:shd w:val="clear" w:color="auto" w:fill="FFFFFF"/>
        <w:spacing w:before="0" w:beforeAutospacing="0" w:after="0" w:afterAutospacing="0"/>
        <w:jc w:val="both"/>
        <w:rPr>
          <w:rFonts w:ascii="Arial" w:hAnsi="Arial" w:cs="Arial"/>
        </w:rPr>
      </w:pPr>
    </w:p>
    <w:p w14:paraId="514BB485" w14:textId="376E2B79" w:rsidR="008100A7" w:rsidRDefault="008100A7" w:rsidP="009A4628">
      <w:pPr>
        <w:pStyle w:val="NormalWeb"/>
        <w:shd w:val="clear" w:color="auto" w:fill="FFFFFF"/>
        <w:spacing w:before="0" w:beforeAutospacing="0" w:after="0" w:afterAutospacing="0"/>
        <w:jc w:val="both"/>
        <w:rPr>
          <w:rFonts w:ascii="Arial" w:hAnsi="Arial" w:cs="Arial"/>
        </w:rPr>
      </w:pPr>
    </w:p>
    <w:p w14:paraId="5DA1AF7B" w14:textId="104D327A" w:rsidR="000A4C49" w:rsidRPr="008466B2" w:rsidRDefault="000A4C49" w:rsidP="008466B2">
      <w:pPr>
        <w:pStyle w:val="Paragraphedeliste"/>
        <w:numPr>
          <w:ilvl w:val="0"/>
          <w:numId w:val="11"/>
        </w:numPr>
        <w:spacing w:after="0" w:line="240" w:lineRule="auto"/>
        <w:jc w:val="both"/>
        <w:rPr>
          <w:rFonts w:ascii="Arial" w:hAnsi="Arial" w:cs="Arial"/>
          <w:b/>
          <w:sz w:val="24"/>
          <w:szCs w:val="24"/>
        </w:rPr>
      </w:pPr>
      <w:r w:rsidRPr="008466B2">
        <w:rPr>
          <w:rFonts w:ascii="Arial" w:hAnsi="Arial" w:cs="Arial"/>
          <w:b/>
          <w:sz w:val="24"/>
          <w:szCs w:val="24"/>
        </w:rPr>
        <w:t>Rédigez une argumentation qui vous permette de répondre à la question suivante : La concurrence permet-elle d’améliorer la satisfaction du consommateur ?</w:t>
      </w:r>
    </w:p>
    <w:p w14:paraId="1886940E" w14:textId="6E9F8FE9" w:rsidR="000A4C49" w:rsidRDefault="000A4C49" w:rsidP="009A4628">
      <w:pPr>
        <w:pStyle w:val="NormalWeb"/>
        <w:shd w:val="clear" w:color="auto" w:fill="FFFFFF"/>
        <w:spacing w:before="0" w:beforeAutospacing="0" w:after="0" w:afterAutospacing="0"/>
        <w:jc w:val="both"/>
        <w:rPr>
          <w:rFonts w:ascii="Arial" w:hAnsi="Arial" w:cs="Arial"/>
        </w:rPr>
      </w:pPr>
    </w:p>
    <w:p w14:paraId="7A60D860" w14:textId="56253AB5" w:rsidR="009F2B7D" w:rsidRPr="009F2B7D" w:rsidRDefault="009F2B7D" w:rsidP="009F2B7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i/>
        </w:rPr>
      </w:pPr>
      <w:r w:rsidRPr="009F2B7D">
        <w:rPr>
          <w:rFonts w:ascii="Arial" w:hAnsi="Arial" w:cs="Arial"/>
          <w:i/>
        </w:rPr>
        <w:t>La question 4 est le lieu de la réponse argumentée. Les questions préalables (1 à 3) ont permis de construire des éléments de réponse pour cette questi</w:t>
      </w:r>
      <w:r w:rsidR="00E32FDB">
        <w:rPr>
          <w:rFonts w:ascii="Arial" w:hAnsi="Arial" w:cs="Arial"/>
          <w:i/>
        </w:rPr>
        <w:t>on 4. Le corpus documentaire,</w:t>
      </w:r>
      <w:r w:rsidRPr="009F2B7D">
        <w:rPr>
          <w:rFonts w:ascii="Arial" w:hAnsi="Arial" w:cs="Arial"/>
          <w:i/>
        </w:rPr>
        <w:t xml:space="preserve"> notamment le document </w:t>
      </w:r>
      <w:r w:rsidR="00D662E4">
        <w:rPr>
          <w:rFonts w:ascii="Arial" w:hAnsi="Arial" w:cs="Arial"/>
          <w:i/>
        </w:rPr>
        <w:t>6</w:t>
      </w:r>
      <w:r w:rsidRPr="009F2B7D">
        <w:rPr>
          <w:rFonts w:ascii="Arial" w:hAnsi="Arial" w:cs="Arial"/>
          <w:i/>
        </w:rPr>
        <w:t xml:space="preserve"> ainsi que les parties non encore utilisées des autres documents, apporte également des éléments de réponse au candidat. Ces éléments ne sont toutefois pas suffisants ; le candidat doit également faire appel à ses connaissances personnelles pour développer son argumentaire.</w:t>
      </w:r>
    </w:p>
    <w:p w14:paraId="3F847F0D" w14:textId="77777777" w:rsidR="009F2B7D" w:rsidRDefault="009F2B7D" w:rsidP="009A4628">
      <w:pPr>
        <w:pStyle w:val="NormalWeb"/>
        <w:shd w:val="clear" w:color="auto" w:fill="FFFFFF"/>
        <w:spacing w:before="0" w:beforeAutospacing="0" w:after="0" w:afterAutospacing="0"/>
        <w:jc w:val="both"/>
        <w:rPr>
          <w:rFonts w:ascii="Arial" w:hAnsi="Arial" w:cs="Arial"/>
        </w:rPr>
      </w:pPr>
    </w:p>
    <w:p w14:paraId="764624C2" w14:textId="77013FE9" w:rsidR="009F2B7D" w:rsidRPr="009F2B7D" w:rsidRDefault="009F2B7D" w:rsidP="009F2B7D">
      <w:pPr>
        <w:spacing w:after="0" w:line="240" w:lineRule="auto"/>
        <w:jc w:val="both"/>
        <w:rPr>
          <w:rFonts w:ascii="Arial" w:eastAsia="Times New Roman" w:hAnsi="Arial" w:cs="Arial"/>
          <w:sz w:val="24"/>
          <w:szCs w:val="24"/>
          <w:u w:val="single"/>
          <w:lang w:eastAsia="fr-FR"/>
        </w:rPr>
      </w:pPr>
      <w:r w:rsidRPr="009F2B7D">
        <w:rPr>
          <w:rFonts w:ascii="Arial" w:eastAsia="Times New Roman" w:hAnsi="Arial" w:cs="Arial"/>
          <w:sz w:val="24"/>
          <w:szCs w:val="24"/>
          <w:u w:val="single"/>
          <w:lang w:eastAsia="fr-FR"/>
        </w:rPr>
        <w:t>Préconisations co</w:t>
      </w:r>
      <w:r>
        <w:rPr>
          <w:rFonts w:ascii="Arial" w:eastAsia="Times New Roman" w:hAnsi="Arial" w:cs="Arial"/>
          <w:sz w:val="24"/>
          <w:szCs w:val="24"/>
          <w:u w:val="single"/>
          <w:lang w:eastAsia="fr-FR"/>
        </w:rPr>
        <w:t>ncernant l’utilisation du corrigé</w:t>
      </w:r>
      <w:r w:rsidRPr="009F2B7D">
        <w:rPr>
          <w:rFonts w:ascii="Arial" w:eastAsia="Times New Roman" w:hAnsi="Arial" w:cs="Arial"/>
          <w:sz w:val="24"/>
          <w:szCs w:val="24"/>
          <w:u w:val="single"/>
          <w:lang w:eastAsia="fr-FR"/>
        </w:rPr>
        <w:t xml:space="preserve"> :</w:t>
      </w:r>
    </w:p>
    <w:p w14:paraId="7BFD1238" w14:textId="77777777" w:rsidR="009F2B7D" w:rsidRPr="009F2B7D" w:rsidRDefault="009F2B7D" w:rsidP="009F2B7D">
      <w:pPr>
        <w:spacing w:after="0" w:line="240" w:lineRule="auto"/>
        <w:jc w:val="both"/>
        <w:rPr>
          <w:rFonts w:ascii="Arial" w:eastAsia="Times New Roman" w:hAnsi="Arial" w:cs="Arial"/>
          <w:sz w:val="24"/>
          <w:szCs w:val="24"/>
          <w:lang w:eastAsia="fr-FR"/>
        </w:rPr>
      </w:pPr>
    </w:p>
    <w:p w14:paraId="36B0F657" w14:textId="442F88CA" w:rsidR="009F2B7D" w:rsidRPr="009F2B7D" w:rsidRDefault="009F2B7D" w:rsidP="009F2B7D">
      <w:pPr>
        <w:spacing w:after="0" w:line="240" w:lineRule="auto"/>
        <w:jc w:val="both"/>
        <w:rPr>
          <w:rFonts w:ascii="Arial" w:eastAsia="Times New Roman" w:hAnsi="Arial" w:cs="Arial"/>
          <w:i/>
          <w:sz w:val="24"/>
          <w:szCs w:val="24"/>
          <w:lang w:eastAsia="fr-FR"/>
        </w:rPr>
      </w:pPr>
      <w:r w:rsidRPr="009F2B7D">
        <w:rPr>
          <w:rFonts w:ascii="Arial" w:eastAsia="Times New Roman" w:hAnsi="Arial" w:cs="Arial"/>
          <w:i/>
          <w:sz w:val="24"/>
          <w:szCs w:val="24"/>
          <w:lang w:eastAsia="fr-FR"/>
        </w:rPr>
        <w:t>Le nombre d’arguments est indicatif. Certains candidats ont pu retenir un nombre d’arguments moins important, mais les développer de façon plus approfondie</w:t>
      </w:r>
    </w:p>
    <w:p w14:paraId="350713BD" w14:textId="77777777" w:rsidR="009F2B7D" w:rsidRDefault="009F2B7D" w:rsidP="009A4628">
      <w:pPr>
        <w:pStyle w:val="NormalWeb"/>
        <w:shd w:val="clear" w:color="auto" w:fill="FFFFFF"/>
        <w:spacing w:before="0" w:beforeAutospacing="0" w:after="0" w:afterAutospacing="0"/>
        <w:jc w:val="both"/>
        <w:rPr>
          <w:rFonts w:ascii="Arial" w:hAnsi="Arial" w:cs="Arial"/>
        </w:rPr>
      </w:pPr>
    </w:p>
    <w:p w14:paraId="53256533" w14:textId="77777777" w:rsidR="005A094C" w:rsidRPr="005A094C" w:rsidRDefault="005A094C" w:rsidP="005A094C">
      <w:pPr>
        <w:spacing w:after="0" w:line="240" w:lineRule="auto"/>
        <w:jc w:val="both"/>
        <w:rPr>
          <w:rFonts w:ascii="Arial" w:eastAsia="Times New Roman" w:hAnsi="Arial" w:cs="Arial"/>
          <w:sz w:val="24"/>
          <w:szCs w:val="24"/>
          <w:u w:val="single"/>
          <w:lang w:eastAsia="fr-FR"/>
        </w:rPr>
      </w:pPr>
      <w:r w:rsidRPr="005A094C">
        <w:rPr>
          <w:rFonts w:ascii="Arial" w:eastAsia="Times New Roman" w:hAnsi="Arial" w:cs="Arial"/>
          <w:sz w:val="24"/>
          <w:szCs w:val="24"/>
          <w:u w:val="single"/>
          <w:lang w:eastAsia="fr-FR"/>
        </w:rPr>
        <w:t>Délimitation des concepts :</w:t>
      </w:r>
    </w:p>
    <w:p w14:paraId="53F22D86" w14:textId="0F23B812" w:rsidR="005A094C" w:rsidRDefault="005A094C" w:rsidP="00ED7923">
      <w:pPr>
        <w:spacing w:after="0" w:line="240" w:lineRule="auto"/>
        <w:jc w:val="both"/>
        <w:rPr>
          <w:rFonts w:ascii="Arial" w:eastAsia="Times New Roman" w:hAnsi="Arial" w:cs="Arial"/>
          <w:sz w:val="24"/>
          <w:szCs w:val="24"/>
          <w:lang w:eastAsia="fr-FR"/>
        </w:rPr>
      </w:pPr>
    </w:p>
    <w:p w14:paraId="68595218" w14:textId="0E817A16" w:rsidR="00ED7923" w:rsidRDefault="00ED7923" w:rsidP="00ED792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Concurrence : situation de marché dans laquelle un nombre suffisant d’offreurs proposent des produits identiques ou substituables pour que les mécanismes de fixation des prix ne soient pas entravés.</w:t>
      </w:r>
    </w:p>
    <w:p w14:paraId="18356687" w14:textId="6858685D" w:rsidR="00ED7923" w:rsidRDefault="00ED7923" w:rsidP="00ED792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Ou</w:t>
      </w:r>
    </w:p>
    <w:p w14:paraId="492F805B" w14:textId="58E92D90" w:rsidR="00ED7923" w:rsidRDefault="00ED7923" w:rsidP="00ED792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Politique de la concurrence : politique économique menée par un État pour favoriser des situations concurrentielles de marché afin que les mécanismes de fixation des prix ne soient pas entravés.</w:t>
      </w:r>
    </w:p>
    <w:p w14:paraId="0485D1F2" w14:textId="1CD3E238" w:rsidR="00ED7923" w:rsidRDefault="00ED7923" w:rsidP="00ED7923">
      <w:pPr>
        <w:spacing w:after="0" w:line="240" w:lineRule="auto"/>
        <w:jc w:val="both"/>
        <w:rPr>
          <w:rFonts w:ascii="Arial" w:eastAsia="Times New Roman" w:hAnsi="Arial" w:cs="Arial"/>
          <w:sz w:val="24"/>
          <w:szCs w:val="24"/>
          <w:lang w:eastAsia="fr-FR"/>
        </w:rPr>
      </w:pPr>
    </w:p>
    <w:p w14:paraId="079A45C1" w14:textId="28118EA2" w:rsidR="00ED7923" w:rsidRDefault="00ED7923" w:rsidP="00ED7923">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Consommateur : agent économique ménage, étudié dans sa fonction de satisfaction de ses besoins.</w:t>
      </w:r>
    </w:p>
    <w:p w14:paraId="2F55ED68" w14:textId="77777777" w:rsidR="00ED7923" w:rsidRPr="005A094C" w:rsidRDefault="00ED7923" w:rsidP="00ED7923">
      <w:pPr>
        <w:spacing w:after="0" w:line="240" w:lineRule="auto"/>
        <w:jc w:val="both"/>
        <w:rPr>
          <w:rFonts w:ascii="Arial" w:eastAsia="Times New Roman" w:hAnsi="Arial" w:cs="Arial"/>
          <w:sz w:val="24"/>
          <w:szCs w:val="24"/>
          <w:lang w:eastAsia="fr-FR"/>
        </w:rPr>
      </w:pPr>
    </w:p>
    <w:p w14:paraId="0CC94AD2" w14:textId="77777777" w:rsidR="005A094C" w:rsidRPr="005A094C" w:rsidRDefault="005A094C" w:rsidP="005A094C">
      <w:pPr>
        <w:spacing w:after="0" w:line="240" w:lineRule="auto"/>
        <w:rPr>
          <w:rFonts w:ascii="Arial" w:eastAsia="Times New Roman" w:hAnsi="Arial" w:cs="Arial"/>
          <w:sz w:val="24"/>
          <w:szCs w:val="24"/>
          <w:u w:val="single"/>
          <w:lang w:eastAsia="fr-FR"/>
        </w:rPr>
      </w:pPr>
      <w:r w:rsidRPr="005A094C">
        <w:rPr>
          <w:rFonts w:ascii="Arial" w:eastAsia="Times New Roman" w:hAnsi="Arial" w:cs="Arial"/>
          <w:sz w:val="24"/>
          <w:szCs w:val="24"/>
          <w:u w:val="single"/>
          <w:lang w:eastAsia="fr-FR"/>
        </w:rPr>
        <w:t xml:space="preserve">Arguments </w:t>
      </w:r>
    </w:p>
    <w:p w14:paraId="2148054D" w14:textId="77777777" w:rsidR="005A094C" w:rsidRPr="005A094C" w:rsidRDefault="005A094C" w:rsidP="005A094C">
      <w:pPr>
        <w:spacing w:after="0" w:line="240" w:lineRule="auto"/>
        <w:rPr>
          <w:rFonts w:ascii="Arial" w:eastAsia="Times New Roman" w:hAnsi="Arial" w:cs="Arial"/>
          <w:sz w:val="24"/>
          <w:szCs w:val="24"/>
          <w:lang w:eastAsia="fr-FR"/>
        </w:rPr>
      </w:pPr>
    </w:p>
    <w:p w14:paraId="6300187D" w14:textId="77777777" w:rsidR="005A094C" w:rsidRPr="005A094C" w:rsidRDefault="005A094C" w:rsidP="005A094C">
      <w:pPr>
        <w:spacing w:after="0" w:line="240" w:lineRule="auto"/>
        <w:jc w:val="both"/>
        <w:rPr>
          <w:rFonts w:ascii="Arial" w:eastAsia="Times New Roman" w:hAnsi="Arial" w:cs="Arial"/>
          <w:i/>
          <w:sz w:val="24"/>
          <w:szCs w:val="24"/>
          <w:lang w:eastAsia="fr-FR"/>
        </w:rPr>
      </w:pPr>
      <w:r w:rsidRPr="005A094C">
        <w:rPr>
          <w:rFonts w:ascii="Arial" w:eastAsia="Times New Roman" w:hAnsi="Arial" w:cs="Arial"/>
          <w:i/>
          <w:sz w:val="24"/>
          <w:szCs w:val="24"/>
          <w:lang w:eastAsia="fr-FR"/>
        </w:rPr>
        <w:t xml:space="preserve">Les arguments présentés par le candidat sont le fruit de déductions qu’il fait des informations contenues dans les annexes et sont issus de ses connaissances de cours. Il n’est pas attendu de phrase introductive ou conclusive. La position doit être </w:t>
      </w:r>
      <w:r w:rsidRPr="005A094C">
        <w:rPr>
          <w:rFonts w:ascii="Arial" w:eastAsia="Times New Roman" w:hAnsi="Arial" w:cs="Arial"/>
          <w:i/>
          <w:sz w:val="24"/>
          <w:szCs w:val="24"/>
          <w:lang w:eastAsia="fr-FR"/>
        </w:rPr>
        <w:lastRenderedPageBreak/>
        <w:t xml:space="preserve">exprimée tout au long de la réponse rédigée. Elle doit être comprise à la lecture des arguments. </w:t>
      </w:r>
    </w:p>
    <w:p w14:paraId="15B8521F" w14:textId="77777777" w:rsidR="005A094C" w:rsidRPr="005A094C" w:rsidRDefault="005A094C" w:rsidP="005A094C">
      <w:pPr>
        <w:spacing w:after="0" w:line="240" w:lineRule="auto"/>
        <w:jc w:val="both"/>
        <w:rPr>
          <w:rFonts w:ascii="Arial" w:eastAsia="Times New Roman" w:hAnsi="Arial" w:cs="Arial"/>
          <w:i/>
          <w:sz w:val="24"/>
          <w:szCs w:val="24"/>
          <w:lang w:eastAsia="fr-FR"/>
        </w:rPr>
      </w:pPr>
    </w:p>
    <w:p w14:paraId="5B333984" w14:textId="08D60B9E" w:rsidR="005A094C" w:rsidRPr="005A094C" w:rsidRDefault="005A094C" w:rsidP="005A094C">
      <w:pPr>
        <w:spacing w:after="0" w:line="240" w:lineRule="auto"/>
        <w:jc w:val="both"/>
        <w:rPr>
          <w:rFonts w:ascii="Arial" w:eastAsia="Times New Roman" w:hAnsi="Arial" w:cs="Arial"/>
          <w:i/>
          <w:sz w:val="24"/>
          <w:szCs w:val="24"/>
          <w:lang w:eastAsia="fr-FR"/>
        </w:rPr>
      </w:pPr>
      <w:r w:rsidRPr="005A094C">
        <w:rPr>
          <w:rFonts w:ascii="Arial" w:eastAsia="Times New Roman" w:hAnsi="Arial" w:cs="Arial"/>
          <w:i/>
          <w:sz w:val="24"/>
          <w:szCs w:val="24"/>
          <w:lang w:eastAsia="fr-FR"/>
        </w:rPr>
        <w:t>Dans son argumentation, le candidat doit exprimer une position claire. Le candidat peut se positionner sur un seul axe</w:t>
      </w:r>
      <w:r>
        <w:rPr>
          <w:rFonts w:ascii="Arial" w:eastAsia="Times New Roman" w:hAnsi="Arial" w:cs="Arial"/>
          <w:i/>
          <w:sz w:val="24"/>
          <w:szCs w:val="24"/>
          <w:lang w:eastAsia="fr-FR"/>
        </w:rPr>
        <w:t>, on</w:t>
      </w:r>
      <w:r w:rsidRPr="005A094C">
        <w:rPr>
          <w:rFonts w:ascii="Arial" w:eastAsia="Times New Roman" w:hAnsi="Arial" w:cs="Arial"/>
          <w:i/>
          <w:sz w:val="24"/>
          <w:szCs w:val="24"/>
          <w:lang w:eastAsia="fr-FR"/>
        </w:rPr>
        <w:t xml:space="preserve"> ne doit pas exiger le développement d’un autre axe. Un candidat peut donc développer un seul ou deux axes. Dans le cas où un candidat développerait deux axes, un nombre égal d’arguments n’est pas attendu dans chacun des deux axes. </w:t>
      </w:r>
      <w:r>
        <w:rPr>
          <w:rFonts w:ascii="Arial" w:eastAsia="Times New Roman" w:hAnsi="Arial" w:cs="Arial"/>
          <w:i/>
          <w:sz w:val="24"/>
          <w:szCs w:val="24"/>
          <w:lang w:eastAsia="fr-FR"/>
        </w:rPr>
        <w:t>L’argumentation n’est pas la recherche d’une « démonstration équilibrée ». Le candidat défend une position.</w:t>
      </w:r>
    </w:p>
    <w:p w14:paraId="57325704" w14:textId="77777777" w:rsidR="005A094C" w:rsidRPr="005A094C" w:rsidRDefault="005A094C" w:rsidP="005A094C">
      <w:pPr>
        <w:spacing w:after="0" w:line="240" w:lineRule="auto"/>
        <w:jc w:val="both"/>
        <w:rPr>
          <w:rFonts w:ascii="Arial" w:eastAsia="Times New Roman" w:hAnsi="Arial" w:cs="Arial"/>
          <w:i/>
          <w:sz w:val="24"/>
          <w:szCs w:val="24"/>
          <w:lang w:eastAsia="fr-FR"/>
        </w:rPr>
      </w:pPr>
    </w:p>
    <w:p w14:paraId="41411B08" w14:textId="77777777" w:rsidR="005A094C" w:rsidRPr="005A094C" w:rsidRDefault="005A094C" w:rsidP="005A094C">
      <w:pPr>
        <w:spacing w:after="0" w:line="240" w:lineRule="auto"/>
        <w:jc w:val="both"/>
        <w:rPr>
          <w:rFonts w:ascii="Arial" w:eastAsia="Times New Roman" w:hAnsi="Arial" w:cs="Arial"/>
          <w:i/>
          <w:sz w:val="24"/>
          <w:szCs w:val="24"/>
          <w:lang w:eastAsia="fr-FR"/>
        </w:rPr>
      </w:pPr>
      <w:r w:rsidRPr="005A094C">
        <w:rPr>
          <w:rFonts w:ascii="Arial" w:eastAsia="Times New Roman" w:hAnsi="Arial" w:cs="Arial"/>
          <w:i/>
          <w:sz w:val="24"/>
          <w:szCs w:val="24"/>
          <w:lang w:eastAsia="fr-FR"/>
        </w:rPr>
        <w:t xml:space="preserve">Une bonne argumentation est une argumentation fondée sur des savoirs disciplinaires, logiquement agencée et correctement exprimée. </w:t>
      </w:r>
    </w:p>
    <w:p w14:paraId="79B6CEEE" w14:textId="552E1690" w:rsidR="005A094C" w:rsidRDefault="005A094C" w:rsidP="005A094C">
      <w:pPr>
        <w:autoSpaceDE w:val="0"/>
        <w:autoSpaceDN w:val="0"/>
        <w:adjustRightInd w:val="0"/>
        <w:spacing w:after="0" w:line="240" w:lineRule="auto"/>
        <w:rPr>
          <w:rFonts w:ascii="Arial" w:eastAsia="Calibri" w:hAnsi="Arial" w:cs="Arial"/>
          <w:bCs/>
          <w:sz w:val="24"/>
          <w:szCs w:val="24"/>
        </w:rPr>
      </w:pPr>
    </w:p>
    <w:p w14:paraId="64246E66" w14:textId="1A783673" w:rsidR="00ED7923" w:rsidRPr="005A094C" w:rsidRDefault="00ED7923" w:rsidP="005A094C">
      <w:pPr>
        <w:autoSpaceDE w:val="0"/>
        <w:autoSpaceDN w:val="0"/>
        <w:adjustRightInd w:val="0"/>
        <w:spacing w:after="0" w:line="240" w:lineRule="auto"/>
        <w:rPr>
          <w:rFonts w:ascii="Arial" w:eastAsia="Calibri" w:hAnsi="Arial" w:cs="Arial"/>
          <w:bCs/>
          <w:sz w:val="24"/>
          <w:szCs w:val="24"/>
        </w:rPr>
      </w:pPr>
      <w:r w:rsidRPr="008466B2">
        <w:rPr>
          <w:rFonts w:ascii="Arial" w:hAnsi="Arial" w:cs="Arial"/>
          <w:b/>
          <w:sz w:val="24"/>
          <w:szCs w:val="24"/>
        </w:rPr>
        <w:t>La concurrence permet-elle d’améliorer la satisfaction du consommateur ?</w:t>
      </w:r>
    </w:p>
    <w:p w14:paraId="2D3F78E3" w14:textId="770D6F68" w:rsidR="000A4C49" w:rsidRDefault="000A4C49" w:rsidP="009A4628">
      <w:pPr>
        <w:pStyle w:val="NormalWeb"/>
        <w:shd w:val="clear" w:color="auto" w:fill="FFFFFF"/>
        <w:spacing w:before="0" w:beforeAutospacing="0" w:after="0" w:afterAutospacing="0"/>
        <w:jc w:val="both"/>
        <w:rPr>
          <w:rFonts w:ascii="Arial" w:hAnsi="Arial" w:cs="Arial"/>
        </w:rPr>
      </w:pPr>
    </w:p>
    <w:p w14:paraId="2F1563A4" w14:textId="77777777" w:rsidR="00C547BD" w:rsidRPr="00CD5172" w:rsidRDefault="00C547BD" w:rsidP="00CD5172">
      <w:pPr>
        <w:spacing w:after="0" w:line="240" w:lineRule="auto"/>
        <w:rPr>
          <w:rFonts w:ascii="Arial" w:hAnsi="Arial" w:cs="Arial"/>
          <w:sz w:val="24"/>
          <w:szCs w:val="24"/>
        </w:rPr>
      </w:pPr>
    </w:p>
    <w:p w14:paraId="6A58FAD1" w14:textId="5E2DCA5C" w:rsidR="00C547BD" w:rsidRDefault="00C547BD" w:rsidP="00ED7923">
      <w:pPr>
        <w:spacing w:after="0" w:line="240" w:lineRule="auto"/>
        <w:jc w:val="both"/>
        <w:rPr>
          <w:rFonts w:ascii="Arial" w:hAnsi="Arial" w:cs="Arial"/>
          <w:b/>
          <w:bCs/>
          <w:sz w:val="24"/>
          <w:szCs w:val="24"/>
        </w:rPr>
      </w:pPr>
      <w:r w:rsidRPr="00082EE6">
        <w:rPr>
          <w:rFonts w:ascii="Arial" w:hAnsi="Arial" w:cs="Arial"/>
          <w:b/>
          <w:bCs/>
          <w:sz w:val="24"/>
          <w:szCs w:val="24"/>
        </w:rPr>
        <w:t xml:space="preserve">Axe 1 : </w:t>
      </w:r>
      <w:r w:rsidR="00ED7923">
        <w:rPr>
          <w:rFonts w:ascii="Arial" w:hAnsi="Arial" w:cs="Arial"/>
          <w:b/>
          <w:bCs/>
          <w:sz w:val="24"/>
          <w:szCs w:val="24"/>
        </w:rPr>
        <w:t>OUI (l</w:t>
      </w:r>
      <w:r w:rsidRPr="00082EE6">
        <w:rPr>
          <w:rFonts w:ascii="Arial" w:hAnsi="Arial" w:cs="Arial"/>
          <w:b/>
          <w:bCs/>
          <w:sz w:val="24"/>
          <w:szCs w:val="24"/>
        </w:rPr>
        <w:t>a recherc</w:t>
      </w:r>
      <w:r w:rsidR="00ED7923">
        <w:rPr>
          <w:rFonts w:ascii="Arial" w:hAnsi="Arial" w:cs="Arial"/>
          <w:b/>
          <w:bCs/>
          <w:sz w:val="24"/>
          <w:szCs w:val="24"/>
        </w:rPr>
        <w:t>he de la concurrence est souvent</w:t>
      </w:r>
      <w:r w:rsidRPr="00082EE6">
        <w:rPr>
          <w:rFonts w:ascii="Arial" w:hAnsi="Arial" w:cs="Arial"/>
          <w:b/>
          <w:bCs/>
          <w:sz w:val="24"/>
          <w:szCs w:val="24"/>
        </w:rPr>
        <w:t xml:space="preserve"> favorable au consommateur</w:t>
      </w:r>
      <w:r w:rsidR="00ED7923">
        <w:rPr>
          <w:rFonts w:ascii="Arial" w:hAnsi="Arial" w:cs="Arial"/>
          <w:b/>
          <w:bCs/>
          <w:sz w:val="24"/>
          <w:szCs w:val="24"/>
        </w:rPr>
        <w:t>) :</w:t>
      </w:r>
    </w:p>
    <w:p w14:paraId="1DB91CCA" w14:textId="543D2E46" w:rsidR="00ED7923" w:rsidRDefault="00ED7923" w:rsidP="00ED7923">
      <w:pPr>
        <w:spacing w:after="0" w:line="240" w:lineRule="auto"/>
        <w:jc w:val="both"/>
        <w:rPr>
          <w:rFonts w:ascii="Arial" w:hAnsi="Arial" w:cs="Arial"/>
          <w:bCs/>
          <w:sz w:val="24"/>
          <w:szCs w:val="24"/>
        </w:rPr>
      </w:pPr>
    </w:p>
    <w:p w14:paraId="4A251D61" w14:textId="3F02995C" w:rsidR="00407F51" w:rsidRPr="00407F51" w:rsidRDefault="00407F51" w:rsidP="00ED7923">
      <w:pPr>
        <w:spacing w:after="0" w:line="240" w:lineRule="auto"/>
        <w:jc w:val="both"/>
        <w:rPr>
          <w:rFonts w:ascii="Arial" w:hAnsi="Arial" w:cs="Arial"/>
          <w:bCs/>
          <w:i/>
          <w:sz w:val="24"/>
          <w:szCs w:val="24"/>
        </w:rPr>
      </w:pPr>
      <w:r w:rsidRPr="00407F51">
        <w:rPr>
          <w:rFonts w:ascii="Arial" w:hAnsi="Arial" w:cs="Arial"/>
          <w:bCs/>
          <w:i/>
          <w:sz w:val="24"/>
          <w:szCs w:val="24"/>
        </w:rPr>
        <w:t>Le candidat peut avancer les arguments suivants :</w:t>
      </w:r>
    </w:p>
    <w:p w14:paraId="4455D78B" w14:textId="77777777" w:rsidR="00407F51" w:rsidRPr="00ED7923" w:rsidRDefault="00407F51" w:rsidP="00ED7923">
      <w:pPr>
        <w:spacing w:after="0" w:line="240" w:lineRule="auto"/>
        <w:jc w:val="both"/>
        <w:rPr>
          <w:rFonts w:ascii="Arial" w:hAnsi="Arial" w:cs="Arial"/>
          <w:bCs/>
          <w:sz w:val="24"/>
          <w:szCs w:val="24"/>
        </w:rPr>
      </w:pPr>
    </w:p>
    <w:p w14:paraId="08CA7BBB" w14:textId="1994A63C" w:rsidR="00ED7923" w:rsidRDefault="00ED7923" w:rsidP="00ED7923">
      <w:pPr>
        <w:pStyle w:val="Paragraphedeliste"/>
        <w:numPr>
          <w:ilvl w:val="0"/>
          <w:numId w:val="14"/>
        </w:numPr>
        <w:spacing w:after="0" w:line="240" w:lineRule="auto"/>
        <w:ind w:left="426"/>
        <w:jc w:val="both"/>
        <w:rPr>
          <w:rFonts w:ascii="Arial" w:hAnsi="Arial" w:cs="Arial"/>
          <w:sz w:val="24"/>
          <w:szCs w:val="24"/>
        </w:rPr>
      </w:pPr>
      <w:r w:rsidRPr="00754E77">
        <w:rPr>
          <w:rFonts w:ascii="Arial" w:hAnsi="Arial" w:cs="Arial"/>
          <w:sz w:val="24"/>
          <w:szCs w:val="24"/>
        </w:rPr>
        <w:t>La politique de la concurrence</w:t>
      </w:r>
      <w:r>
        <w:rPr>
          <w:rFonts w:ascii="Arial" w:hAnsi="Arial" w:cs="Arial"/>
          <w:sz w:val="24"/>
          <w:szCs w:val="24"/>
        </w:rPr>
        <w:t xml:space="preserve"> permet la mise en place des conditions de la concurrence. Elle veille à ce que les marchés ne soient pas en situation de monopole.</w:t>
      </w:r>
      <w:r w:rsidR="00D662E4">
        <w:rPr>
          <w:rFonts w:ascii="Arial" w:hAnsi="Arial" w:cs="Arial"/>
          <w:sz w:val="24"/>
          <w:szCs w:val="24"/>
        </w:rPr>
        <w:t xml:space="preserve"> (</w:t>
      </w:r>
      <w:r w:rsidR="00D662E4">
        <w:rPr>
          <w:rFonts w:ascii="Arial" w:hAnsi="Arial" w:cs="Arial"/>
          <w:i/>
          <w:sz w:val="24"/>
          <w:szCs w:val="24"/>
        </w:rPr>
        <w:t>Annexe 6</w:t>
      </w:r>
      <w:r w:rsidR="00D662E4">
        <w:rPr>
          <w:rFonts w:ascii="Arial" w:hAnsi="Arial" w:cs="Arial"/>
          <w:sz w:val="24"/>
          <w:szCs w:val="24"/>
        </w:rPr>
        <w:t>)</w:t>
      </w:r>
    </w:p>
    <w:p w14:paraId="2AF3EF2A" w14:textId="42200477" w:rsidR="00ED7923" w:rsidRDefault="00CE3E52" w:rsidP="0001029F">
      <w:pPr>
        <w:pStyle w:val="Paragraphedeliste"/>
        <w:spacing w:after="0" w:line="240" w:lineRule="auto"/>
        <w:ind w:left="426"/>
        <w:jc w:val="both"/>
        <w:rPr>
          <w:rFonts w:ascii="Arial" w:hAnsi="Arial" w:cs="Arial"/>
          <w:sz w:val="24"/>
          <w:szCs w:val="24"/>
        </w:rPr>
      </w:pPr>
      <w:r>
        <w:rPr>
          <w:rFonts w:ascii="Arial" w:hAnsi="Arial" w:cs="Arial"/>
          <w:sz w:val="24"/>
          <w:szCs w:val="24"/>
        </w:rPr>
        <w:t>Objectif</w:t>
      </w:r>
      <w:r w:rsidR="00ED7923">
        <w:rPr>
          <w:rFonts w:ascii="Arial" w:hAnsi="Arial" w:cs="Arial"/>
          <w:sz w:val="24"/>
          <w:szCs w:val="24"/>
        </w:rPr>
        <w:t> :</w:t>
      </w:r>
      <w:r w:rsidR="0001029F">
        <w:rPr>
          <w:rFonts w:ascii="Arial" w:hAnsi="Arial" w:cs="Arial"/>
          <w:sz w:val="24"/>
          <w:szCs w:val="24"/>
        </w:rPr>
        <w:t xml:space="preserve"> a</w:t>
      </w:r>
      <w:r w:rsidR="00ED7923" w:rsidRPr="0001029F">
        <w:rPr>
          <w:rFonts w:ascii="Arial" w:hAnsi="Arial" w:cs="Arial"/>
          <w:sz w:val="24"/>
          <w:szCs w:val="24"/>
        </w:rPr>
        <w:t>mélioration de la satisfaction du consommateur par la b</w:t>
      </w:r>
      <w:r w:rsidR="0001029F" w:rsidRPr="0001029F">
        <w:rPr>
          <w:rFonts w:ascii="Arial" w:hAnsi="Arial" w:cs="Arial"/>
          <w:sz w:val="24"/>
          <w:szCs w:val="24"/>
        </w:rPr>
        <w:t>aisse des prix (l</w:t>
      </w:r>
      <w:r w:rsidR="00ED7923" w:rsidRPr="0001029F">
        <w:rPr>
          <w:rFonts w:ascii="Arial" w:hAnsi="Arial" w:cs="Arial"/>
          <w:sz w:val="24"/>
          <w:szCs w:val="24"/>
        </w:rPr>
        <w:t>orsqu’il y a plusieurs entreprises sur un marc</w:t>
      </w:r>
      <w:r w:rsidR="0001029F" w:rsidRPr="0001029F">
        <w:rPr>
          <w:rFonts w:ascii="Arial" w:hAnsi="Arial" w:cs="Arial"/>
          <w:sz w:val="24"/>
          <w:szCs w:val="24"/>
        </w:rPr>
        <w:t xml:space="preserve">hé, cela fait baisser les prix : </w:t>
      </w:r>
      <w:r w:rsidR="00ED7923" w:rsidRPr="0001029F">
        <w:rPr>
          <w:rFonts w:ascii="Arial" w:hAnsi="Arial" w:cs="Arial"/>
          <w:sz w:val="24"/>
          <w:szCs w:val="24"/>
        </w:rPr>
        <w:t>loi de l’offre et de la demande</w:t>
      </w:r>
      <w:r w:rsidR="0001029F" w:rsidRPr="0001029F">
        <w:rPr>
          <w:rFonts w:ascii="Arial" w:hAnsi="Arial" w:cs="Arial"/>
          <w:sz w:val="24"/>
          <w:szCs w:val="24"/>
        </w:rPr>
        <w:t>, convergence du prix vers le c</w:t>
      </w:r>
      <w:r w:rsidR="0001029F">
        <w:rPr>
          <w:rFonts w:ascii="Arial" w:hAnsi="Arial" w:cs="Arial"/>
          <w:sz w:val="24"/>
          <w:szCs w:val="24"/>
        </w:rPr>
        <w:t>o</w:t>
      </w:r>
      <w:r w:rsidR="0001029F" w:rsidRPr="0001029F">
        <w:rPr>
          <w:rFonts w:ascii="Arial" w:hAnsi="Arial" w:cs="Arial"/>
          <w:sz w:val="24"/>
          <w:szCs w:val="24"/>
        </w:rPr>
        <w:t>ût marginal de production</w:t>
      </w:r>
      <w:r w:rsidR="00ED7923" w:rsidRPr="0001029F">
        <w:rPr>
          <w:rFonts w:ascii="Arial" w:hAnsi="Arial" w:cs="Arial"/>
          <w:sz w:val="24"/>
          <w:szCs w:val="24"/>
        </w:rPr>
        <w:t xml:space="preserve">), </w:t>
      </w:r>
      <w:r w:rsidR="0001029F" w:rsidRPr="0001029F">
        <w:rPr>
          <w:rFonts w:ascii="Arial" w:hAnsi="Arial" w:cs="Arial"/>
          <w:sz w:val="24"/>
          <w:szCs w:val="24"/>
        </w:rPr>
        <w:t>donc l’augmentation du pouvoir d’a</w:t>
      </w:r>
      <w:r w:rsidR="0001029F">
        <w:rPr>
          <w:rFonts w:ascii="Arial" w:hAnsi="Arial" w:cs="Arial"/>
          <w:sz w:val="24"/>
          <w:szCs w:val="24"/>
        </w:rPr>
        <w:t>chat.</w:t>
      </w:r>
    </w:p>
    <w:p w14:paraId="435BAF06" w14:textId="77777777" w:rsidR="0001029F" w:rsidRDefault="0001029F" w:rsidP="0001029F">
      <w:pPr>
        <w:pStyle w:val="Paragraphedeliste"/>
        <w:spacing w:after="0" w:line="240" w:lineRule="auto"/>
        <w:ind w:left="426"/>
        <w:jc w:val="both"/>
        <w:rPr>
          <w:rFonts w:ascii="Arial" w:hAnsi="Arial" w:cs="Arial"/>
          <w:sz w:val="24"/>
          <w:szCs w:val="24"/>
        </w:rPr>
      </w:pPr>
    </w:p>
    <w:p w14:paraId="65E2F606" w14:textId="56BB0FB3" w:rsidR="0001029F" w:rsidRDefault="0001029F" w:rsidP="0001029F">
      <w:pPr>
        <w:pStyle w:val="Paragraphedeliste"/>
        <w:numPr>
          <w:ilvl w:val="0"/>
          <w:numId w:val="14"/>
        </w:numPr>
        <w:spacing w:after="0" w:line="240" w:lineRule="auto"/>
        <w:ind w:left="426"/>
        <w:jc w:val="both"/>
        <w:rPr>
          <w:rFonts w:ascii="Arial" w:hAnsi="Arial" w:cs="Arial"/>
          <w:sz w:val="24"/>
          <w:szCs w:val="24"/>
        </w:rPr>
      </w:pPr>
      <w:r w:rsidRPr="0001029F">
        <w:rPr>
          <w:rFonts w:ascii="Arial" w:hAnsi="Arial" w:cs="Arial"/>
          <w:sz w:val="24"/>
          <w:szCs w:val="24"/>
        </w:rPr>
        <w:t xml:space="preserve">En situation de concurrence, les entreprises vont chercher </w:t>
      </w:r>
      <w:r>
        <w:rPr>
          <w:rFonts w:ascii="Arial" w:hAnsi="Arial" w:cs="Arial"/>
          <w:sz w:val="24"/>
          <w:szCs w:val="24"/>
        </w:rPr>
        <w:t>à gagner des parts de marché : e</w:t>
      </w:r>
      <w:r w:rsidRPr="0001029F">
        <w:rPr>
          <w:rFonts w:ascii="Arial" w:hAnsi="Arial" w:cs="Arial"/>
          <w:sz w:val="24"/>
          <w:szCs w:val="24"/>
        </w:rPr>
        <w:t>lles vont alors tenter de réduire leurs coûts. Le prix des produits va alors baisser. La baisse des prix est favorable au pouvoir d’achat du consommateur.</w:t>
      </w:r>
      <w:r w:rsidR="00D662E4">
        <w:rPr>
          <w:rFonts w:ascii="Arial" w:hAnsi="Arial" w:cs="Arial"/>
          <w:sz w:val="24"/>
          <w:szCs w:val="24"/>
        </w:rPr>
        <w:t xml:space="preserve"> (</w:t>
      </w:r>
      <w:r w:rsidR="00D662E4" w:rsidRPr="00D662E4">
        <w:rPr>
          <w:rFonts w:ascii="Arial" w:hAnsi="Arial" w:cs="Arial"/>
          <w:i/>
          <w:sz w:val="24"/>
          <w:szCs w:val="24"/>
        </w:rPr>
        <w:t>Connaissances</w:t>
      </w:r>
      <w:r w:rsidR="00D662E4">
        <w:rPr>
          <w:rFonts w:ascii="Arial" w:hAnsi="Arial" w:cs="Arial"/>
          <w:sz w:val="24"/>
          <w:szCs w:val="24"/>
        </w:rPr>
        <w:t>)</w:t>
      </w:r>
    </w:p>
    <w:p w14:paraId="68220227" w14:textId="5246B161" w:rsidR="0001029F" w:rsidRDefault="0001029F" w:rsidP="0001029F">
      <w:pPr>
        <w:spacing w:after="0" w:line="240" w:lineRule="auto"/>
        <w:jc w:val="both"/>
        <w:rPr>
          <w:rFonts w:ascii="Arial" w:hAnsi="Arial" w:cs="Arial"/>
          <w:sz w:val="24"/>
          <w:szCs w:val="24"/>
        </w:rPr>
      </w:pPr>
    </w:p>
    <w:p w14:paraId="7D0FC7E7" w14:textId="084CF93C" w:rsidR="0001029F" w:rsidRDefault="00F466EA" w:rsidP="00F466EA">
      <w:pPr>
        <w:pStyle w:val="Paragraphedeliste"/>
        <w:numPr>
          <w:ilvl w:val="0"/>
          <w:numId w:val="14"/>
        </w:numPr>
        <w:spacing w:after="0" w:line="240" w:lineRule="auto"/>
        <w:ind w:left="426"/>
        <w:jc w:val="both"/>
        <w:rPr>
          <w:rFonts w:ascii="Arial" w:hAnsi="Arial" w:cs="Arial"/>
          <w:sz w:val="24"/>
          <w:szCs w:val="24"/>
        </w:rPr>
      </w:pPr>
      <w:r>
        <w:rPr>
          <w:rFonts w:ascii="Arial" w:hAnsi="Arial" w:cs="Arial"/>
          <w:sz w:val="24"/>
          <w:szCs w:val="24"/>
        </w:rPr>
        <w:t>Dans le cadre des stratégies pour dépasser l’intensité concurrentielle, les entreprises cherchent à se différencier</w:t>
      </w:r>
      <w:r w:rsidR="00D662E4">
        <w:rPr>
          <w:rFonts w:ascii="Arial" w:hAnsi="Arial" w:cs="Arial"/>
          <w:sz w:val="24"/>
          <w:szCs w:val="24"/>
        </w:rPr>
        <w:t xml:space="preserve"> (</w:t>
      </w:r>
      <w:r w:rsidR="00D662E4" w:rsidRPr="00D662E4">
        <w:rPr>
          <w:rFonts w:ascii="Arial" w:hAnsi="Arial" w:cs="Arial"/>
          <w:i/>
          <w:sz w:val="24"/>
          <w:szCs w:val="24"/>
        </w:rPr>
        <w:t>Réponse à la question 3</w:t>
      </w:r>
      <w:r w:rsidR="00D662E4">
        <w:rPr>
          <w:rFonts w:ascii="Arial" w:hAnsi="Arial" w:cs="Arial"/>
          <w:sz w:val="24"/>
          <w:szCs w:val="24"/>
        </w:rPr>
        <w:t>)</w:t>
      </w:r>
      <w:r>
        <w:rPr>
          <w:rFonts w:ascii="Arial" w:hAnsi="Arial" w:cs="Arial"/>
          <w:sz w:val="24"/>
          <w:szCs w:val="24"/>
        </w:rPr>
        <w:t> :</w:t>
      </w:r>
    </w:p>
    <w:p w14:paraId="3C97B9E1" w14:textId="5E8E02BF" w:rsidR="00F466EA" w:rsidRDefault="00F466EA" w:rsidP="00F466EA">
      <w:pPr>
        <w:pStyle w:val="Paragraphedeliste"/>
        <w:numPr>
          <w:ilvl w:val="0"/>
          <w:numId w:val="15"/>
        </w:numPr>
        <w:rPr>
          <w:rFonts w:ascii="Arial" w:hAnsi="Arial" w:cs="Arial"/>
          <w:sz w:val="24"/>
          <w:szCs w:val="24"/>
        </w:rPr>
      </w:pPr>
      <w:r>
        <w:rPr>
          <w:rFonts w:ascii="Arial" w:hAnsi="Arial" w:cs="Arial"/>
          <w:sz w:val="24"/>
          <w:szCs w:val="24"/>
        </w:rPr>
        <w:t>offre de produits plus diversifiée (plus grande variété de produits) ;</w:t>
      </w:r>
    </w:p>
    <w:p w14:paraId="28A846A3" w14:textId="7BF5BF8D" w:rsidR="00F466EA" w:rsidRPr="00F466EA" w:rsidRDefault="00F466EA" w:rsidP="00F466EA">
      <w:pPr>
        <w:pStyle w:val="Paragraphedeliste"/>
        <w:numPr>
          <w:ilvl w:val="0"/>
          <w:numId w:val="15"/>
        </w:numPr>
        <w:spacing w:after="0" w:line="240" w:lineRule="auto"/>
        <w:rPr>
          <w:rFonts w:ascii="Arial" w:hAnsi="Arial" w:cs="Arial"/>
          <w:sz w:val="24"/>
          <w:szCs w:val="24"/>
        </w:rPr>
      </w:pPr>
      <w:r>
        <w:rPr>
          <w:rFonts w:ascii="Arial" w:hAnsi="Arial" w:cs="Arial"/>
          <w:sz w:val="24"/>
          <w:szCs w:val="24"/>
        </w:rPr>
        <w:t>amélioration de la qualité des produits (différenciation par la qualité).</w:t>
      </w:r>
    </w:p>
    <w:p w14:paraId="0762DC88" w14:textId="7342D084" w:rsidR="00F466EA" w:rsidRDefault="00F466EA" w:rsidP="00F466EA">
      <w:pPr>
        <w:spacing w:after="0" w:line="240" w:lineRule="auto"/>
        <w:jc w:val="both"/>
        <w:rPr>
          <w:rFonts w:ascii="Arial" w:hAnsi="Arial" w:cs="Arial"/>
          <w:sz w:val="24"/>
          <w:szCs w:val="24"/>
        </w:rPr>
      </w:pPr>
    </w:p>
    <w:p w14:paraId="65465B86" w14:textId="4C738748" w:rsidR="00407F51" w:rsidRPr="00407F51" w:rsidRDefault="00407F51" w:rsidP="00407F51">
      <w:pPr>
        <w:spacing w:after="0" w:line="240" w:lineRule="auto"/>
        <w:jc w:val="both"/>
        <w:rPr>
          <w:rFonts w:ascii="Arial" w:hAnsi="Arial" w:cs="Arial"/>
          <w:i/>
          <w:sz w:val="24"/>
          <w:szCs w:val="24"/>
        </w:rPr>
      </w:pPr>
      <w:r>
        <w:rPr>
          <w:rFonts w:ascii="Arial" w:hAnsi="Arial" w:cs="Arial"/>
          <w:i/>
          <w:sz w:val="24"/>
          <w:szCs w:val="24"/>
        </w:rPr>
        <w:t>Il convient d’a</w:t>
      </w:r>
      <w:r w:rsidRPr="00407F51">
        <w:rPr>
          <w:rFonts w:ascii="Arial" w:hAnsi="Arial" w:cs="Arial"/>
          <w:i/>
          <w:sz w:val="24"/>
          <w:szCs w:val="24"/>
        </w:rPr>
        <w:t>ccepter tous les autres arguments pertinents qui seraient proposés par le candidat.</w:t>
      </w:r>
    </w:p>
    <w:p w14:paraId="3246A25E" w14:textId="77777777" w:rsidR="0001029F" w:rsidRPr="0001029F" w:rsidRDefault="0001029F" w:rsidP="0001029F">
      <w:pPr>
        <w:spacing w:after="0" w:line="240" w:lineRule="auto"/>
        <w:jc w:val="both"/>
        <w:rPr>
          <w:rFonts w:ascii="Arial" w:hAnsi="Arial" w:cs="Arial"/>
          <w:sz w:val="24"/>
          <w:szCs w:val="24"/>
        </w:rPr>
      </w:pPr>
    </w:p>
    <w:p w14:paraId="0DF7B2AE" w14:textId="0C4B8586" w:rsidR="00C547BD" w:rsidRDefault="00C547BD" w:rsidP="00ED7923">
      <w:pPr>
        <w:spacing w:after="0" w:line="240" w:lineRule="auto"/>
        <w:jc w:val="both"/>
        <w:rPr>
          <w:rFonts w:ascii="Arial" w:hAnsi="Arial" w:cs="Arial"/>
          <w:sz w:val="24"/>
          <w:szCs w:val="24"/>
        </w:rPr>
      </w:pPr>
      <w:r w:rsidRPr="000D501E">
        <w:rPr>
          <w:rFonts w:ascii="Arial" w:hAnsi="Arial" w:cs="Arial"/>
          <w:b/>
          <w:bCs/>
          <w:sz w:val="24"/>
          <w:szCs w:val="24"/>
        </w:rPr>
        <w:t xml:space="preserve">Axe 2 : </w:t>
      </w:r>
      <w:r w:rsidR="00ED7923">
        <w:rPr>
          <w:rFonts w:ascii="Arial" w:hAnsi="Arial" w:cs="Arial"/>
          <w:b/>
          <w:bCs/>
          <w:sz w:val="24"/>
          <w:szCs w:val="24"/>
        </w:rPr>
        <w:t>NON (</w:t>
      </w:r>
      <w:r w:rsidRPr="000D501E">
        <w:rPr>
          <w:rFonts w:ascii="Arial" w:hAnsi="Arial" w:cs="Arial"/>
          <w:b/>
          <w:bCs/>
          <w:sz w:val="24"/>
          <w:szCs w:val="24"/>
        </w:rPr>
        <w:t>la recherche de la concurrence peut être défavorable au consommateur</w:t>
      </w:r>
      <w:r w:rsidR="00ED7923">
        <w:rPr>
          <w:rFonts w:ascii="Arial" w:hAnsi="Arial" w:cs="Arial"/>
          <w:b/>
          <w:bCs/>
          <w:sz w:val="24"/>
          <w:szCs w:val="24"/>
        </w:rPr>
        <w:t>) :</w:t>
      </w:r>
      <w:r>
        <w:rPr>
          <w:rFonts w:ascii="Arial" w:hAnsi="Arial" w:cs="Arial"/>
          <w:sz w:val="24"/>
          <w:szCs w:val="24"/>
        </w:rPr>
        <w:t xml:space="preserve"> </w:t>
      </w:r>
    </w:p>
    <w:p w14:paraId="111A445B" w14:textId="3C1EA15F" w:rsidR="00D500CD" w:rsidRDefault="00D500CD" w:rsidP="00ED7923">
      <w:pPr>
        <w:spacing w:after="0" w:line="240" w:lineRule="auto"/>
        <w:jc w:val="both"/>
        <w:rPr>
          <w:rFonts w:ascii="Arial" w:hAnsi="Arial" w:cs="Arial"/>
          <w:sz w:val="24"/>
          <w:szCs w:val="24"/>
        </w:rPr>
      </w:pPr>
    </w:p>
    <w:p w14:paraId="45B6455B" w14:textId="77777777" w:rsidR="009544E0" w:rsidRPr="00407F51" w:rsidRDefault="009544E0" w:rsidP="009544E0">
      <w:pPr>
        <w:spacing w:after="0" w:line="240" w:lineRule="auto"/>
        <w:jc w:val="both"/>
        <w:rPr>
          <w:rFonts w:ascii="Arial" w:hAnsi="Arial" w:cs="Arial"/>
          <w:bCs/>
          <w:i/>
          <w:sz w:val="24"/>
          <w:szCs w:val="24"/>
        </w:rPr>
      </w:pPr>
      <w:r w:rsidRPr="00407F51">
        <w:rPr>
          <w:rFonts w:ascii="Arial" w:hAnsi="Arial" w:cs="Arial"/>
          <w:bCs/>
          <w:i/>
          <w:sz w:val="24"/>
          <w:szCs w:val="24"/>
        </w:rPr>
        <w:t>Le candidat peut avancer les arguments suivants :</w:t>
      </w:r>
    </w:p>
    <w:p w14:paraId="34694903" w14:textId="77777777" w:rsidR="009544E0" w:rsidRDefault="009544E0" w:rsidP="00ED7923">
      <w:pPr>
        <w:spacing w:after="0" w:line="240" w:lineRule="auto"/>
        <w:jc w:val="both"/>
        <w:rPr>
          <w:rFonts w:ascii="Arial" w:hAnsi="Arial" w:cs="Arial"/>
          <w:sz w:val="24"/>
          <w:szCs w:val="24"/>
        </w:rPr>
      </w:pPr>
    </w:p>
    <w:p w14:paraId="52DD18BB" w14:textId="2D8D8343" w:rsidR="00D500CD" w:rsidRDefault="00D500CD" w:rsidP="00CE3E52">
      <w:pPr>
        <w:pStyle w:val="Paragraphedeliste"/>
        <w:numPr>
          <w:ilvl w:val="0"/>
          <w:numId w:val="16"/>
        </w:numPr>
        <w:spacing w:after="0" w:line="240" w:lineRule="auto"/>
        <w:ind w:left="426"/>
        <w:jc w:val="both"/>
        <w:rPr>
          <w:rFonts w:ascii="Arial" w:hAnsi="Arial" w:cs="Arial"/>
          <w:sz w:val="24"/>
          <w:szCs w:val="24"/>
        </w:rPr>
      </w:pPr>
      <w:r w:rsidRPr="00CE3E52">
        <w:rPr>
          <w:rFonts w:ascii="Arial" w:hAnsi="Arial" w:cs="Arial"/>
          <w:sz w:val="24"/>
          <w:szCs w:val="24"/>
        </w:rPr>
        <w:t>Les conditions de mise en œuvre de la concurrence supposent de lutter contre les situations de monopole. Alors que ceux-ci peu</w:t>
      </w:r>
      <w:r w:rsidR="00CE3E52">
        <w:rPr>
          <w:rFonts w:ascii="Arial" w:hAnsi="Arial" w:cs="Arial"/>
          <w:sz w:val="24"/>
          <w:szCs w:val="24"/>
        </w:rPr>
        <w:t>ven</w:t>
      </w:r>
      <w:r w:rsidRPr="00CE3E52">
        <w:rPr>
          <w:rFonts w:ascii="Arial" w:hAnsi="Arial" w:cs="Arial"/>
          <w:sz w:val="24"/>
          <w:szCs w:val="24"/>
        </w:rPr>
        <w:t xml:space="preserve">t apporter </w:t>
      </w:r>
      <w:r w:rsidR="00CE3E52">
        <w:rPr>
          <w:rFonts w:ascii="Arial" w:hAnsi="Arial" w:cs="Arial"/>
          <w:sz w:val="24"/>
          <w:szCs w:val="24"/>
        </w:rPr>
        <w:t>des avantages aux consommateurs :</w:t>
      </w:r>
    </w:p>
    <w:p w14:paraId="0DA7B232" w14:textId="6DD2F079" w:rsidR="00CE3E52" w:rsidRDefault="00CE3E52" w:rsidP="00CE3E52">
      <w:pPr>
        <w:pStyle w:val="Paragraphedeliste"/>
        <w:numPr>
          <w:ilvl w:val="0"/>
          <w:numId w:val="17"/>
        </w:numPr>
        <w:spacing w:after="0" w:line="240" w:lineRule="auto"/>
        <w:ind w:left="709"/>
        <w:jc w:val="both"/>
        <w:rPr>
          <w:rFonts w:ascii="Arial" w:hAnsi="Arial" w:cs="Arial"/>
          <w:sz w:val="24"/>
          <w:szCs w:val="24"/>
        </w:rPr>
      </w:pPr>
      <w:r>
        <w:rPr>
          <w:rFonts w:ascii="Arial" w:hAnsi="Arial" w:cs="Arial"/>
          <w:sz w:val="24"/>
          <w:szCs w:val="24"/>
        </w:rPr>
        <w:lastRenderedPageBreak/>
        <w:t>les monopoles publics peuvent extraire de la concurrence des services essentiels à la vie économique et sociale pour proposer des prix inférieurs à celui qui aura</w:t>
      </w:r>
      <w:r w:rsidR="009138FA">
        <w:rPr>
          <w:rFonts w:ascii="Arial" w:hAnsi="Arial" w:cs="Arial"/>
          <w:sz w:val="24"/>
          <w:szCs w:val="24"/>
        </w:rPr>
        <w:t>it</w:t>
      </w:r>
      <w:r>
        <w:rPr>
          <w:rFonts w:ascii="Arial" w:hAnsi="Arial" w:cs="Arial"/>
          <w:sz w:val="24"/>
          <w:szCs w:val="24"/>
        </w:rPr>
        <w:t xml:space="preserve"> résulté des mécanismes de marché ;</w:t>
      </w:r>
      <w:r w:rsidR="0079318A">
        <w:rPr>
          <w:rFonts w:ascii="Arial" w:hAnsi="Arial" w:cs="Arial"/>
          <w:sz w:val="24"/>
          <w:szCs w:val="24"/>
        </w:rPr>
        <w:t xml:space="preserve"> (</w:t>
      </w:r>
      <w:r w:rsidR="0079318A" w:rsidRPr="0079318A">
        <w:rPr>
          <w:rFonts w:ascii="Arial" w:hAnsi="Arial" w:cs="Arial"/>
          <w:i/>
          <w:sz w:val="24"/>
          <w:szCs w:val="24"/>
        </w:rPr>
        <w:t>Connaissances</w:t>
      </w:r>
      <w:r w:rsidR="0079318A">
        <w:rPr>
          <w:rFonts w:ascii="Arial" w:hAnsi="Arial" w:cs="Arial"/>
          <w:sz w:val="24"/>
          <w:szCs w:val="24"/>
        </w:rPr>
        <w:t>)</w:t>
      </w:r>
    </w:p>
    <w:p w14:paraId="0CCDA008" w14:textId="7E9755C5" w:rsidR="00CE3E52" w:rsidRDefault="00CE3E52" w:rsidP="00CE3E52">
      <w:pPr>
        <w:pStyle w:val="Paragraphedeliste"/>
        <w:numPr>
          <w:ilvl w:val="0"/>
          <w:numId w:val="17"/>
        </w:numPr>
        <w:spacing w:after="0" w:line="240" w:lineRule="auto"/>
        <w:ind w:left="709"/>
        <w:jc w:val="both"/>
        <w:rPr>
          <w:rFonts w:ascii="Arial" w:hAnsi="Arial" w:cs="Arial"/>
          <w:sz w:val="24"/>
          <w:szCs w:val="24"/>
        </w:rPr>
      </w:pPr>
      <w:r>
        <w:rPr>
          <w:rFonts w:ascii="Arial" w:hAnsi="Arial" w:cs="Arial"/>
          <w:sz w:val="24"/>
          <w:szCs w:val="24"/>
        </w:rPr>
        <w:t>les entreprises innovantes développent des monopoles temporaires du simple fait de la nouveauté de leur produit.</w:t>
      </w:r>
      <w:r w:rsidR="0079318A">
        <w:rPr>
          <w:rFonts w:ascii="Arial" w:hAnsi="Arial" w:cs="Arial"/>
          <w:sz w:val="24"/>
          <w:szCs w:val="24"/>
        </w:rPr>
        <w:t xml:space="preserve"> (</w:t>
      </w:r>
      <w:r w:rsidR="0079318A" w:rsidRPr="0079318A">
        <w:rPr>
          <w:rFonts w:ascii="Arial" w:hAnsi="Arial" w:cs="Arial"/>
          <w:i/>
          <w:sz w:val="24"/>
          <w:szCs w:val="24"/>
        </w:rPr>
        <w:t>Annexe 4</w:t>
      </w:r>
      <w:r w:rsidR="0079318A">
        <w:rPr>
          <w:rFonts w:ascii="Arial" w:hAnsi="Arial" w:cs="Arial"/>
          <w:sz w:val="24"/>
          <w:szCs w:val="24"/>
        </w:rPr>
        <w:t>)</w:t>
      </w:r>
    </w:p>
    <w:p w14:paraId="042015D7" w14:textId="77777777" w:rsidR="00CE3E52" w:rsidRPr="00CE3E52" w:rsidRDefault="00CE3E52" w:rsidP="00CE3E52">
      <w:pPr>
        <w:spacing w:after="0" w:line="240" w:lineRule="auto"/>
        <w:jc w:val="both"/>
        <w:rPr>
          <w:rFonts w:ascii="Arial" w:hAnsi="Arial" w:cs="Arial"/>
          <w:sz w:val="24"/>
          <w:szCs w:val="24"/>
        </w:rPr>
      </w:pPr>
    </w:p>
    <w:p w14:paraId="1834E5FE" w14:textId="4C048C99" w:rsidR="00CE3E52" w:rsidRDefault="00CE3E52" w:rsidP="00CE3E52">
      <w:pPr>
        <w:pStyle w:val="Paragraphedeliste"/>
        <w:numPr>
          <w:ilvl w:val="0"/>
          <w:numId w:val="16"/>
        </w:numPr>
        <w:spacing w:after="0" w:line="240" w:lineRule="auto"/>
        <w:ind w:left="426"/>
        <w:jc w:val="both"/>
        <w:rPr>
          <w:rFonts w:ascii="Arial" w:hAnsi="Arial" w:cs="Arial"/>
          <w:sz w:val="24"/>
          <w:szCs w:val="24"/>
        </w:rPr>
      </w:pPr>
      <w:r>
        <w:rPr>
          <w:rFonts w:ascii="Arial" w:hAnsi="Arial" w:cs="Arial"/>
          <w:sz w:val="24"/>
          <w:szCs w:val="24"/>
        </w:rPr>
        <w:t>La politique de la concurrence permet la protection de certains monopoles</w:t>
      </w:r>
      <w:r w:rsidR="0064761D">
        <w:rPr>
          <w:rFonts w:ascii="Arial" w:hAnsi="Arial" w:cs="Arial"/>
          <w:sz w:val="24"/>
          <w:szCs w:val="24"/>
        </w:rPr>
        <w:t xml:space="preserve"> à travers les brevets.</w:t>
      </w:r>
      <w:r w:rsidR="00131A6C">
        <w:rPr>
          <w:rFonts w:ascii="Arial" w:hAnsi="Arial" w:cs="Arial"/>
          <w:sz w:val="24"/>
          <w:szCs w:val="24"/>
        </w:rPr>
        <w:t xml:space="preserve"> (</w:t>
      </w:r>
      <w:r w:rsidR="00131A6C">
        <w:rPr>
          <w:rFonts w:ascii="Arial" w:hAnsi="Arial" w:cs="Arial"/>
          <w:i/>
          <w:sz w:val="24"/>
          <w:szCs w:val="24"/>
        </w:rPr>
        <w:t>Annexe 5</w:t>
      </w:r>
      <w:r w:rsidR="00131A6C">
        <w:rPr>
          <w:rFonts w:ascii="Arial" w:hAnsi="Arial" w:cs="Arial"/>
          <w:sz w:val="24"/>
          <w:szCs w:val="24"/>
        </w:rPr>
        <w:t>)</w:t>
      </w:r>
    </w:p>
    <w:p w14:paraId="17883DEC" w14:textId="613F7A33" w:rsidR="0064761D" w:rsidRDefault="0064761D" w:rsidP="0064761D">
      <w:pPr>
        <w:pStyle w:val="Paragraphedeliste"/>
        <w:spacing w:after="0" w:line="240" w:lineRule="auto"/>
        <w:ind w:left="426"/>
        <w:jc w:val="both"/>
        <w:rPr>
          <w:rFonts w:ascii="Arial" w:hAnsi="Arial" w:cs="Arial"/>
          <w:sz w:val="24"/>
          <w:szCs w:val="24"/>
        </w:rPr>
      </w:pPr>
      <w:r>
        <w:rPr>
          <w:rFonts w:ascii="Arial" w:hAnsi="Arial" w:cs="Arial"/>
          <w:sz w:val="24"/>
          <w:szCs w:val="24"/>
        </w:rPr>
        <w:t>Objectifs : inciter les entreprises à investir dans l’innovation (protection contre la concurrence par le brevet le temps de la durée légale de celui-ci), pour satisfaire les consommateurs par l’offre de nouveau produits.</w:t>
      </w:r>
      <w:r w:rsidR="00962F89">
        <w:rPr>
          <w:rFonts w:ascii="Arial" w:hAnsi="Arial" w:cs="Arial"/>
          <w:sz w:val="24"/>
          <w:szCs w:val="24"/>
        </w:rPr>
        <w:t xml:space="preserve"> (</w:t>
      </w:r>
      <w:r w:rsidR="00962F89" w:rsidRPr="00962F89">
        <w:rPr>
          <w:rFonts w:ascii="Arial" w:hAnsi="Arial" w:cs="Arial"/>
          <w:i/>
          <w:sz w:val="24"/>
          <w:szCs w:val="24"/>
        </w:rPr>
        <w:t>Des données chiffrées issues de l’annexe 5 peuvent être attendues</w:t>
      </w:r>
      <w:r w:rsidR="00962F89">
        <w:rPr>
          <w:rFonts w:ascii="Arial" w:hAnsi="Arial" w:cs="Arial"/>
          <w:sz w:val="24"/>
          <w:szCs w:val="24"/>
        </w:rPr>
        <w:t>)</w:t>
      </w:r>
    </w:p>
    <w:p w14:paraId="44A6BA1A" w14:textId="5F895F4A" w:rsidR="0064761D" w:rsidRDefault="0064761D" w:rsidP="0064761D">
      <w:pPr>
        <w:spacing w:after="0" w:line="240" w:lineRule="auto"/>
        <w:jc w:val="both"/>
        <w:rPr>
          <w:rFonts w:ascii="Arial" w:hAnsi="Arial" w:cs="Arial"/>
          <w:sz w:val="24"/>
          <w:szCs w:val="24"/>
        </w:rPr>
      </w:pPr>
    </w:p>
    <w:p w14:paraId="217FEEFF" w14:textId="6FB7FB10" w:rsidR="00C547BD" w:rsidRPr="0064761D" w:rsidRDefault="00C547BD" w:rsidP="0064761D">
      <w:pPr>
        <w:pStyle w:val="Paragraphedeliste"/>
        <w:numPr>
          <w:ilvl w:val="0"/>
          <w:numId w:val="16"/>
        </w:numPr>
        <w:spacing w:after="0" w:line="240" w:lineRule="auto"/>
        <w:ind w:left="426"/>
        <w:jc w:val="both"/>
        <w:rPr>
          <w:rFonts w:ascii="Arial" w:hAnsi="Arial" w:cs="Arial"/>
          <w:sz w:val="24"/>
          <w:szCs w:val="24"/>
        </w:rPr>
      </w:pPr>
      <w:r w:rsidRPr="0064761D">
        <w:rPr>
          <w:rFonts w:ascii="Arial" w:hAnsi="Arial" w:cs="Arial"/>
          <w:sz w:val="24"/>
          <w:szCs w:val="24"/>
        </w:rPr>
        <w:t xml:space="preserve">La forte concurrence pousse les entreprises à réduire </w:t>
      </w:r>
      <w:r w:rsidR="0064761D">
        <w:rPr>
          <w:rFonts w:ascii="Arial" w:hAnsi="Arial" w:cs="Arial"/>
          <w:sz w:val="24"/>
          <w:szCs w:val="24"/>
        </w:rPr>
        <w:t>ses coûts par exemple en délocalisant la production dans</w:t>
      </w:r>
      <w:r w:rsidRPr="0064761D">
        <w:rPr>
          <w:rFonts w:ascii="Arial" w:hAnsi="Arial" w:cs="Arial"/>
          <w:sz w:val="24"/>
          <w:szCs w:val="24"/>
        </w:rPr>
        <w:t xml:space="preserve"> des pay</w:t>
      </w:r>
      <w:r w:rsidR="0064761D">
        <w:rPr>
          <w:rFonts w:ascii="Arial" w:hAnsi="Arial" w:cs="Arial"/>
          <w:sz w:val="24"/>
          <w:szCs w:val="24"/>
        </w:rPr>
        <w:t>s à main d'œuvre moins coûteuse. C</w:t>
      </w:r>
      <w:r w:rsidRPr="0064761D">
        <w:rPr>
          <w:rFonts w:ascii="Arial" w:hAnsi="Arial" w:cs="Arial"/>
          <w:sz w:val="24"/>
          <w:szCs w:val="24"/>
        </w:rPr>
        <w:t xml:space="preserve">e qui est nuisible pour les salariés licenciés du pays d'origine, qui voit leur </w:t>
      </w:r>
      <w:r w:rsidR="0064761D">
        <w:rPr>
          <w:rFonts w:ascii="Arial" w:hAnsi="Arial" w:cs="Arial"/>
          <w:sz w:val="24"/>
          <w:szCs w:val="24"/>
        </w:rPr>
        <w:t xml:space="preserve">revenu et donc leur </w:t>
      </w:r>
      <w:r w:rsidRPr="0064761D">
        <w:rPr>
          <w:rFonts w:ascii="Arial" w:hAnsi="Arial" w:cs="Arial"/>
          <w:sz w:val="24"/>
          <w:szCs w:val="24"/>
        </w:rPr>
        <w:t>pouvoir d'achat dim</w:t>
      </w:r>
      <w:r w:rsidR="0064761D">
        <w:rPr>
          <w:rFonts w:ascii="Arial" w:hAnsi="Arial" w:cs="Arial"/>
          <w:sz w:val="24"/>
          <w:szCs w:val="24"/>
        </w:rPr>
        <w:t>inuer.</w:t>
      </w:r>
      <w:r w:rsidR="00E36D06">
        <w:rPr>
          <w:rFonts w:ascii="Arial" w:hAnsi="Arial" w:cs="Arial"/>
          <w:sz w:val="24"/>
          <w:szCs w:val="24"/>
        </w:rPr>
        <w:t xml:space="preserve"> (</w:t>
      </w:r>
      <w:r w:rsidR="00E36D06" w:rsidRPr="00E36D06">
        <w:rPr>
          <w:rFonts w:ascii="Arial" w:hAnsi="Arial" w:cs="Arial"/>
          <w:i/>
          <w:sz w:val="24"/>
          <w:szCs w:val="24"/>
        </w:rPr>
        <w:t>Connaissances</w:t>
      </w:r>
      <w:r w:rsidR="00E36D06">
        <w:rPr>
          <w:rFonts w:ascii="Arial" w:hAnsi="Arial" w:cs="Arial"/>
          <w:sz w:val="24"/>
          <w:szCs w:val="24"/>
        </w:rPr>
        <w:t>)</w:t>
      </w:r>
    </w:p>
    <w:p w14:paraId="44007B76" w14:textId="77777777" w:rsidR="00C547BD" w:rsidRPr="00BB3310" w:rsidRDefault="00C547BD" w:rsidP="00ED7923">
      <w:pPr>
        <w:spacing w:after="0" w:line="240" w:lineRule="auto"/>
        <w:jc w:val="both"/>
        <w:rPr>
          <w:rFonts w:ascii="Arial" w:hAnsi="Arial" w:cs="Arial"/>
          <w:sz w:val="24"/>
          <w:szCs w:val="24"/>
        </w:rPr>
      </w:pPr>
    </w:p>
    <w:p w14:paraId="69C19D1C" w14:textId="77777777" w:rsidR="00407F51" w:rsidRPr="00407F51" w:rsidRDefault="009544E0" w:rsidP="009544E0">
      <w:pPr>
        <w:spacing w:after="0" w:line="240" w:lineRule="auto"/>
        <w:jc w:val="both"/>
        <w:rPr>
          <w:rFonts w:ascii="Arial" w:hAnsi="Arial" w:cs="Arial"/>
          <w:i/>
          <w:sz w:val="24"/>
          <w:szCs w:val="24"/>
        </w:rPr>
      </w:pPr>
      <w:r>
        <w:rPr>
          <w:rFonts w:ascii="Arial" w:hAnsi="Arial" w:cs="Arial"/>
          <w:i/>
          <w:sz w:val="24"/>
          <w:szCs w:val="24"/>
        </w:rPr>
        <w:t>Il convient d’a</w:t>
      </w:r>
      <w:r w:rsidRPr="00407F51">
        <w:rPr>
          <w:rFonts w:ascii="Arial" w:hAnsi="Arial" w:cs="Arial"/>
          <w:i/>
          <w:sz w:val="24"/>
          <w:szCs w:val="24"/>
        </w:rPr>
        <w:t>ccepter tous les autres arguments pertinents qui seraient proposés par le candidat.</w:t>
      </w:r>
    </w:p>
    <w:p w14:paraId="375E531D" w14:textId="77777777" w:rsidR="008F4630" w:rsidRPr="00F7273F" w:rsidRDefault="008F4630" w:rsidP="00ED7923">
      <w:pPr>
        <w:spacing w:after="0" w:line="240" w:lineRule="auto"/>
        <w:jc w:val="both"/>
        <w:rPr>
          <w:rFonts w:ascii="Arial" w:hAnsi="Arial" w:cs="Arial"/>
          <w:sz w:val="24"/>
          <w:szCs w:val="24"/>
        </w:rPr>
      </w:pPr>
    </w:p>
    <w:sectPr w:rsidR="008F4630" w:rsidRPr="00F7273F" w:rsidSect="00D415C0">
      <w:footerReference w:type="default" r:id="rId13"/>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20EDF" w16cid:durableId="21E67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47F0" w14:textId="77777777" w:rsidR="000C1C6D" w:rsidRDefault="000C1C6D" w:rsidP="00A91C72">
      <w:pPr>
        <w:spacing w:after="0" w:line="240" w:lineRule="auto"/>
      </w:pPr>
      <w:r>
        <w:separator/>
      </w:r>
    </w:p>
  </w:endnote>
  <w:endnote w:type="continuationSeparator" w:id="0">
    <w:p w14:paraId="633BC223" w14:textId="77777777" w:rsidR="000C1C6D" w:rsidRDefault="000C1C6D" w:rsidP="00A9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45285"/>
      <w:docPartObj>
        <w:docPartGallery w:val="Page Numbers (Bottom of Page)"/>
        <w:docPartUnique/>
      </w:docPartObj>
    </w:sdtPr>
    <w:sdtContent>
      <w:p w14:paraId="6C106465" w14:textId="3084DC99" w:rsidR="00A91C72" w:rsidRDefault="00A91C72">
        <w:pPr>
          <w:pStyle w:val="Pieddepage"/>
          <w:jc w:val="center"/>
        </w:pPr>
        <w:r>
          <w:fldChar w:fldCharType="begin"/>
        </w:r>
        <w:r>
          <w:instrText>PAGE   \* MERGEFORMAT</w:instrText>
        </w:r>
        <w:r>
          <w:fldChar w:fldCharType="separate"/>
        </w:r>
        <w:r w:rsidR="009308A5">
          <w:rPr>
            <w:noProof/>
          </w:rPr>
          <w:t>10</w:t>
        </w:r>
        <w:r>
          <w:fldChar w:fldCharType="end"/>
        </w:r>
      </w:p>
    </w:sdtContent>
  </w:sdt>
  <w:p w14:paraId="2F0484BE" w14:textId="77777777" w:rsidR="00A91C72" w:rsidRDefault="00A91C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01AD" w14:textId="77777777" w:rsidR="000C1C6D" w:rsidRDefault="000C1C6D" w:rsidP="00A91C72">
      <w:pPr>
        <w:spacing w:after="0" w:line="240" w:lineRule="auto"/>
      </w:pPr>
      <w:r>
        <w:separator/>
      </w:r>
    </w:p>
  </w:footnote>
  <w:footnote w:type="continuationSeparator" w:id="0">
    <w:p w14:paraId="266096B5" w14:textId="77777777" w:rsidR="000C1C6D" w:rsidRDefault="000C1C6D" w:rsidP="00A9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37C"/>
    <w:multiLevelType w:val="hybridMultilevel"/>
    <w:tmpl w:val="52A2633C"/>
    <w:lvl w:ilvl="0" w:tplc="79E47D5E">
      <w:start w:val="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C97C09"/>
    <w:multiLevelType w:val="hybridMultilevel"/>
    <w:tmpl w:val="7EB46556"/>
    <w:lvl w:ilvl="0" w:tplc="B7782366">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A6F75"/>
    <w:multiLevelType w:val="hybridMultilevel"/>
    <w:tmpl w:val="5FBA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581504"/>
    <w:multiLevelType w:val="hybridMultilevel"/>
    <w:tmpl w:val="3DAA2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D41B9"/>
    <w:multiLevelType w:val="hybridMultilevel"/>
    <w:tmpl w:val="8ABCD95E"/>
    <w:lvl w:ilvl="0" w:tplc="763665FA">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A967143"/>
    <w:multiLevelType w:val="hybridMultilevel"/>
    <w:tmpl w:val="B7E2F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97328D"/>
    <w:multiLevelType w:val="hybridMultilevel"/>
    <w:tmpl w:val="7E807240"/>
    <w:lvl w:ilvl="0" w:tplc="00DEB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A52D17"/>
    <w:multiLevelType w:val="hybridMultilevel"/>
    <w:tmpl w:val="2F845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1B0E64"/>
    <w:multiLevelType w:val="hybridMultilevel"/>
    <w:tmpl w:val="406AB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6F7100"/>
    <w:multiLevelType w:val="hybridMultilevel"/>
    <w:tmpl w:val="D35C1E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E6B37A1"/>
    <w:multiLevelType w:val="hybridMultilevel"/>
    <w:tmpl w:val="406AB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927E53"/>
    <w:multiLevelType w:val="hybridMultilevel"/>
    <w:tmpl w:val="C2AE14AE"/>
    <w:lvl w:ilvl="0" w:tplc="79E47D5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B0778D"/>
    <w:multiLevelType w:val="hybridMultilevel"/>
    <w:tmpl w:val="3BAE0342"/>
    <w:lvl w:ilvl="0" w:tplc="79E47D5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07B05"/>
    <w:multiLevelType w:val="hybridMultilevel"/>
    <w:tmpl w:val="82D81DC0"/>
    <w:lvl w:ilvl="0" w:tplc="11FEB3C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963C12"/>
    <w:multiLevelType w:val="hybridMultilevel"/>
    <w:tmpl w:val="406AB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F179CD"/>
    <w:multiLevelType w:val="hybridMultilevel"/>
    <w:tmpl w:val="FCBC8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970CEA"/>
    <w:multiLevelType w:val="hybridMultilevel"/>
    <w:tmpl w:val="406AB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
  </w:num>
  <w:num w:numId="5">
    <w:abstractNumId w:val="4"/>
  </w:num>
  <w:num w:numId="6">
    <w:abstractNumId w:val="0"/>
  </w:num>
  <w:num w:numId="7">
    <w:abstractNumId w:val="15"/>
  </w:num>
  <w:num w:numId="8">
    <w:abstractNumId w:val="5"/>
  </w:num>
  <w:num w:numId="9">
    <w:abstractNumId w:val="7"/>
  </w:num>
  <w:num w:numId="10">
    <w:abstractNumId w:val="16"/>
  </w:num>
  <w:num w:numId="11">
    <w:abstractNumId w:val="3"/>
  </w:num>
  <w:num w:numId="12">
    <w:abstractNumId w:val="14"/>
  </w:num>
  <w:num w:numId="13">
    <w:abstractNumId w:val="8"/>
  </w:num>
  <w:num w:numId="14">
    <w:abstractNumId w:val="9"/>
  </w:num>
  <w:num w:numId="15">
    <w:abstractNumId w:val="12"/>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81"/>
    <w:rsid w:val="0001029F"/>
    <w:rsid w:val="00033A39"/>
    <w:rsid w:val="00034F73"/>
    <w:rsid w:val="000864FD"/>
    <w:rsid w:val="000A4C49"/>
    <w:rsid w:val="000C1C6D"/>
    <w:rsid w:val="000E345D"/>
    <w:rsid w:val="00131A6C"/>
    <w:rsid w:val="001332E6"/>
    <w:rsid w:val="00160F20"/>
    <w:rsid w:val="00184BD6"/>
    <w:rsid w:val="00193245"/>
    <w:rsid w:val="00214CE1"/>
    <w:rsid w:val="002259BF"/>
    <w:rsid w:val="00232733"/>
    <w:rsid w:val="00234BB4"/>
    <w:rsid w:val="002858DD"/>
    <w:rsid w:val="00290719"/>
    <w:rsid w:val="002D2E2D"/>
    <w:rsid w:val="00303541"/>
    <w:rsid w:val="00325355"/>
    <w:rsid w:val="0035155D"/>
    <w:rsid w:val="00362874"/>
    <w:rsid w:val="00367BED"/>
    <w:rsid w:val="00367F2E"/>
    <w:rsid w:val="00390BAF"/>
    <w:rsid w:val="003A23FC"/>
    <w:rsid w:val="003D6616"/>
    <w:rsid w:val="003E6F74"/>
    <w:rsid w:val="003F28E8"/>
    <w:rsid w:val="00407F51"/>
    <w:rsid w:val="004B1517"/>
    <w:rsid w:val="004B700F"/>
    <w:rsid w:val="004C2EF1"/>
    <w:rsid w:val="00580946"/>
    <w:rsid w:val="005A094C"/>
    <w:rsid w:val="005B67C6"/>
    <w:rsid w:val="0064761D"/>
    <w:rsid w:val="006A690F"/>
    <w:rsid w:val="006F7F3A"/>
    <w:rsid w:val="00725E09"/>
    <w:rsid w:val="0079318A"/>
    <w:rsid w:val="007D1229"/>
    <w:rsid w:val="007E197E"/>
    <w:rsid w:val="007E29DF"/>
    <w:rsid w:val="008100A7"/>
    <w:rsid w:val="008466B2"/>
    <w:rsid w:val="00867688"/>
    <w:rsid w:val="00872ADA"/>
    <w:rsid w:val="00881281"/>
    <w:rsid w:val="00885193"/>
    <w:rsid w:val="008B3ACB"/>
    <w:rsid w:val="008E14BD"/>
    <w:rsid w:val="008E6463"/>
    <w:rsid w:val="008F4630"/>
    <w:rsid w:val="008F54B5"/>
    <w:rsid w:val="009138FA"/>
    <w:rsid w:val="009162A9"/>
    <w:rsid w:val="009308A5"/>
    <w:rsid w:val="00951F3A"/>
    <w:rsid w:val="009544E0"/>
    <w:rsid w:val="00962F89"/>
    <w:rsid w:val="00972DC1"/>
    <w:rsid w:val="00993194"/>
    <w:rsid w:val="009A4628"/>
    <w:rsid w:val="009C0DBC"/>
    <w:rsid w:val="009C1313"/>
    <w:rsid w:val="009C6698"/>
    <w:rsid w:val="009D2FB6"/>
    <w:rsid w:val="009F2B7D"/>
    <w:rsid w:val="00A12364"/>
    <w:rsid w:val="00A430E8"/>
    <w:rsid w:val="00A606A8"/>
    <w:rsid w:val="00A72238"/>
    <w:rsid w:val="00A727F0"/>
    <w:rsid w:val="00A82E09"/>
    <w:rsid w:val="00A8308F"/>
    <w:rsid w:val="00A91C72"/>
    <w:rsid w:val="00B0531D"/>
    <w:rsid w:val="00B2164C"/>
    <w:rsid w:val="00B54F06"/>
    <w:rsid w:val="00B65DBC"/>
    <w:rsid w:val="00B705B0"/>
    <w:rsid w:val="00B95B20"/>
    <w:rsid w:val="00BA5198"/>
    <w:rsid w:val="00BD1E59"/>
    <w:rsid w:val="00BE445F"/>
    <w:rsid w:val="00C102CD"/>
    <w:rsid w:val="00C20AAA"/>
    <w:rsid w:val="00C35F51"/>
    <w:rsid w:val="00C547BD"/>
    <w:rsid w:val="00C656D2"/>
    <w:rsid w:val="00C67260"/>
    <w:rsid w:val="00C83C1A"/>
    <w:rsid w:val="00CA259F"/>
    <w:rsid w:val="00CB15B7"/>
    <w:rsid w:val="00CB2043"/>
    <w:rsid w:val="00CD5172"/>
    <w:rsid w:val="00CE3E52"/>
    <w:rsid w:val="00D022DD"/>
    <w:rsid w:val="00D415C0"/>
    <w:rsid w:val="00D500CD"/>
    <w:rsid w:val="00D662E4"/>
    <w:rsid w:val="00D84F6D"/>
    <w:rsid w:val="00DD64EB"/>
    <w:rsid w:val="00E3202E"/>
    <w:rsid w:val="00E32FDB"/>
    <w:rsid w:val="00E36D06"/>
    <w:rsid w:val="00E41A1B"/>
    <w:rsid w:val="00E475A8"/>
    <w:rsid w:val="00E54BD6"/>
    <w:rsid w:val="00E913F4"/>
    <w:rsid w:val="00EA0C38"/>
    <w:rsid w:val="00EB2366"/>
    <w:rsid w:val="00EC38F5"/>
    <w:rsid w:val="00ED7923"/>
    <w:rsid w:val="00F12A38"/>
    <w:rsid w:val="00F36688"/>
    <w:rsid w:val="00F466EA"/>
    <w:rsid w:val="00F66CE2"/>
    <w:rsid w:val="00F7273F"/>
    <w:rsid w:val="00F80602"/>
    <w:rsid w:val="00FA7DFB"/>
    <w:rsid w:val="00FA7E27"/>
    <w:rsid w:val="00FB05C0"/>
    <w:rsid w:val="00FD17C3"/>
    <w:rsid w:val="00FD18EF"/>
    <w:rsid w:val="00FD3FEF"/>
    <w:rsid w:val="00FE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812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1281"/>
    <w:rPr>
      <w:rFonts w:ascii="Times New Roman" w:eastAsia="Times New Roman" w:hAnsi="Times New Roman" w:cs="Times New Roman"/>
      <w:b/>
      <w:bCs/>
      <w:sz w:val="36"/>
      <w:szCs w:val="36"/>
      <w:lang w:eastAsia="fr-FR"/>
    </w:rPr>
  </w:style>
  <w:style w:type="paragraph" w:customStyle="1" w:styleId="eda-p">
    <w:name w:val="ed__a-p"/>
    <w:basedOn w:val="Normal"/>
    <w:rsid w:val="00881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1281"/>
    <w:rPr>
      <w:color w:val="0000FF"/>
      <w:u w:val="single"/>
    </w:rPr>
  </w:style>
  <w:style w:type="character" w:styleId="Accentuation">
    <w:name w:val="Emphasis"/>
    <w:basedOn w:val="Policepardfaut"/>
    <w:uiPriority w:val="20"/>
    <w:qFormat/>
    <w:rsid w:val="00881281"/>
    <w:rPr>
      <w:i/>
      <w:iCs/>
    </w:rPr>
  </w:style>
  <w:style w:type="paragraph" w:styleId="NormalWeb">
    <w:name w:val="Normal (Web)"/>
    <w:basedOn w:val="Normal"/>
    <w:uiPriority w:val="99"/>
    <w:unhideWhenUsed/>
    <w:rsid w:val="00881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1281"/>
    <w:rPr>
      <w:b/>
      <w:bCs/>
    </w:rPr>
  </w:style>
  <w:style w:type="paragraph" w:styleId="Paragraphedeliste">
    <w:name w:val="List Paragraph"/>
    <w:basedOn w:val="Normal"/>
    <w:uiPriority w:val="34"/>
    <w:qFormat/>
    <w:rsid w:val="00F7273F"/>
    <w:pPr>
      <w:ind w:left="720"/>
      <w:contextualSpacing/>
    </w:pPr>
  </w:style>
  <w:style w:type="table" w:styleId="Grilledutableau">
    <w:name w:val="Table Grid"/>
    <w:basedOn w:val="TableauNormal"/>
    <w:uiPriority w:val="39"/>
    <w:rsid w:val="00FD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66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688"/>
    <w:rPr>
      <w:rFonts w:ascii="Segoe UI" w:hAnsi="Segoe UI" w:cs="Segoe UI"/>
      <w:sz w:val="18"/>
      <w:szCs w:val="18"/>
    </w:rPr>
  </w:style>
  <w:style w:type="character" w:styleId="Marquedecommentaire">
    <w:name w:val="annotation reference"/>
    <w:basedOn w:val="Policepardfaut"/>
    <w:uiPriority w:val="99"/>
    <w:semiHidden/>
    <w:unhideWhenUsed/>
    <w:rsid w:val="00FA7DFB"/>
    <w:rPr>
      <w:sz w:val="16"/>
      <w:szCs w:val="16"/>
    </w:rPr>
  </w:style>
  <w:style w:type="paragraph" w:styleId="Commentaire">
    <w:name w:val="annotation text"/>
    <w:basedOn w:val="Normal"/>
    <w:link w:val="CommentaireCar"/>
    <w:uiPriority w:val="99"/>
    <w:semiHidden/>
    <w:unhideWhenUsed/>
    <w:rsid w:val="00FA7DFB"/>
    <w:pPr>
      <w:spacing w:line="240" w:lineRule="auto"/>
    </w:pPr>
    <w:rPr>
      <w:sz w:val="20"/>
      <w:szCs w:val="20"/>
    </w:rPr>
  </w:style>
  <w:style w:type="character" w:customStyle="1" w:styleId="CommentaireCar">
    <w:name w:val="Commentaire Car"/>
    <w:basedOn w:val="Policepardfaut"/>
    <w:link w:val="Commentaire"/>
    <w:uiPriority w:val="99"/>
    <w:semiHidden/>
    <w:rsid w:val="00FA7DFB"/>
    <w:rPr>
      <w:sz w:val="20"/>
      <w:szCs w:val="20"/>
    </w:rPr>
  </w:style>
  <w:style w:type="paragraph" w:styleId="Objetducommentaire">
    <w:name w:val="annotation subject"/>
    <w:basedOn w:val="Commentaire"/>
    <w:next w:val="Commentaire"/>
    <w:link w:val="ObjetducommentaireCar"/>
    <w:uiPriority w:val="99"/>
    <w:semiHidden/>
    <w:unhideWhenUsed/>
    <w:rsid w:val="00FA7DFB"/>
    <w:rPr>
      <w:b/>
      <w:bCs/>
    </w:rPr>
  </w:style>
  <w:style w:type="character" w:customStyle="1" w:styleId="ObjetducommentaireCar">
    <w:name w:val="Objet du commentaire Car"/>
    <w:basedOn w:val="CommentaireCar"/>
    <w:link w:val="Objetducommentaire"/>
    <w:uiPriority w:val="99"/>
    <w:semiHidden/>
    <w:rsid w:val="00FA7DFB"/>
    <w:rPr>
      <w:b/>
      <w:bCs/>
      <w:sz w:val="20"/>
      <w:szCs w:val="20"/>
    </w:rPr>
  </w:style>
  <w:style w:type="character" w:styleId="Lienhypertextesuivivisit">
    <w:name w:val="FollowedHyperlink"/>
    <w:basedOn w:val="Policepardfaut"/>
    <w:uiPriority w:val="99"/>
    <w:semiHidden/>
    <w:unhideWhenUsed/>
    <w:rsid w:val="00C83C1A"/>
    <w:rPr>
      <w:color w:val="954F72" w:themeColor="followedHyperlink"/>
      <w:u w:val="single"/>
    </w:rPr>
  </w:style>
  <w:style w:type="paragraph" w:customStyle="1" w:styleId="Default">
    <w:name w:val="Default"/>
    <w:rsid w:val="00B705B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91C72"/>
    <w:pPr>
      <w:tabs>
        <w:tab w:val="center" w:pos="4536"/>
        <w:tab w:val="right" w:pos="9072"/>
      </w:tabs>
      <w:spacing w:after="0" w:line="240" w:lineRule="auto"/>
    </w:pPr>
  </w:style>
  <w:style w:type="character" w:customStyle="1" w:styleId="En-tteCar">
    <w:name w:val="En-tête Car"/>
    <w:basedOn w:val="Policepardfaut"/>
    <w:link w:val="En-tte"/>
    <w:uiPriority w:val="99"/>
    <w:rsid w:val="00A91C72"/>
  </w:style>
  <w:style w:type="paragraph" w:styleId="Pieddepage">
    <w:name w:val="footer"/>
    <w:basedOn w:val="Normal"/>
    <w:link w:val="PieddepageCar"/>
    <w:uiPriority w:val="99"/>
    <w:unhideWhenUsed/>
    <w:rsid w:val="00A91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812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1281"/>
    <w:rPr>
      <w:rFonts w:ascii="Times New Roman" w:eastAsia="Times New Roman" w:hAnsi="Times New Roman" w:cs="Times New Roman"/>
      <w:b/>
      <w:bCs/>
      <w:sz w:val="36"/>
      <w:szCs w:val="36"/>
      <w:lang w:eastAsia="fr-FR"/>
    </w:rPr>
  </w:style>
  <w:style w:type="paragraph" w:customStyle="1" w:styleId="eda-p">
    <w:name w:val="ed__a-p"/>
    <w:basedOn w:val="Normal"/>
    <w:rsid w:val="00881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81281"/>
    <w:rPr>
      <w:color w:val="0000FF"/>
      <w:u w:val="single"/>
    </w:rPr>
  </w:style>
  <w:style w:type="character" w:styleId="Accentuation">
    <w:name w:val="Emphasis"/>
    <w:basedOn w:val="Policepardfaut"/>
    <w:uiPriority w:val="20"/>
    <w:qFormat/>
    <w:rsid w:val="00881281"/>
    <w:rPr>
      <w:i/>
      <w:iCs/>
    </w:rPr>
  </w:style>
  <w:style w:type="paragraph" w:styleId="NormalWeb">
    <w:name w:val="Normal (Web)"/>
    <w:basedOn w:val="Normal"/>
    <w:uiPriority w:val="99"/>
    <w:unhideWhenUsed/>
    <w:rsid w:val="00881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1281"/>
    <w:rPr>
      <w:b/>
      <w:bCs/>
    </w:rPr>
  </w:style>
  <w:style w:type="paragraph" w:styleId="Paragraphedeliste">
    <w:name w:val="List Paragraph"/>
    <w:basedOn w:val="Normal"/>
    <w:uiPriority w:val="34"/>
    <w:qFormat/>
    <w:rsid w:val="00F7273F"/>
    <w:pPr>
      <w:ind w:left="720"/>
      <w:contextualSpacing/>
    </w:pPr>
  </w:style>
  <w:style w:type="table" w:styleId="Grilledutableau">
    <w:name w:val="Table Grid"/>
    <w:basedOn w:val="TableauNormal"/>
    <w:uiPriority w:val="39"/>
    <w:rsid w:val="00FD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66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688"/>
    <w:rPr>
      <w:rFonts w:ascii="Segoe UI" w:hAnsi="Segoe UI" w:cs="Segoe UI"/>
      <w:sz w:val="18"/>
      <w:szCs w:val="18"/>
    </w:rPr>
  </w:style>
  <w:style w:type="character" w:styleId="Marquedecommentaire">
    <w:name w:val="annotation reference"/>
    <w:basedOn w:val="Policepardfaut"/>
    <w:uiPriority w:val="99"/>
    <w:semiHidden/>
    <w:unhideWhenUsed/>
    <w:rsid w:val="00FA7DFB"/>
    <w:rPr>
      <w:sz w:val="16"/>
      <w:szCs w:val="16"/>
    </w:rPr>
  </w:style>
  <w:style w:type="paragraph" w:styleId="Commentaire">
    <w:name w:val="annotation text"/>
    <w:basedOn w:val="Normal"/>
    <w:link w:val="CommentaireCar"/>
    <w:uiPriority w:val="99"/>
    <w:semiHidden/>
    <w:unhideWhenUsed/>
    <w:rsid w:val="00FA7DFB"/>
    <w:pPr>
      <w:spacing w:line="240" w:lineRule="auto"/>
    </w:pPr>
    <w:rPr>
      <w:sz w:val="20"/>
      <w:szCs w:val="20"/>
    </w:rPr>
  </w:style>
  <w:style w:type="character" w:customStyle="1" w:styleId="CommentaireCar">
    <w:name w:val="Commentaire Car"/>
    <w:basedOn w:val="Policepardfaut"/>
    <w:link w:val="Commentaire"/>
    <w:uiPriority w:val="99"/>
    <w:semiHidden/>
    <w:rsid w:val="00FA7DFB"/>
    <w:rPr>
      <w:sz w:val="20"/>
      <w:szCs w:val="20"/>
    </w:rPr>
  </w:style>
  <w:style w:type="paragraph" w:styleId="Objetducommentaire">
    <w:name w:val="annotation subject"/>
    <w:basedOn w:val="Commentaire"/>
    <w:next w:val="Commentaire"/>
    <w:link w:val="ObjetducommentaireCar"/>
    <w:uiPriority w:val="99"/>
    <w:semiHidden/>
    <w:unhideWhenUsed/>
    <w:rsid w:val="00FA7DFB"/>
    <w:rPr>
      <w:b/>
      <w:bCs/>
    </w:rPr>
  </w:style>
  <w:style w:type="character" w:customStyle="1" w:styleId="ObjetducommentaireCar">
    <w:name w:val="Objet du commentaire Car"/>
    <w:basedOn w:val="CommentaireCar"/>
    <w:link w:val="Objetducommentaire"/>
    <w:uiPriority w:val="99"/>
    <w:semiHidden/>
    <w:rsid w:val="00FA7DFB"/>
    <w:rPr>
      <w:b/>
      <w:bCs/>
      <w:sz w:val="20"/>
      <w:szCs w:val="20"/>
    </w:rPr>
  </w:style>
  <w:style w:type="character" w:styleId="Lienhypertextesuivivisit">
    <w:name w:val="FollowedHyperlink"/>
    <w:basedOn w:val="Policepardfaut"/>
    <w:uiPriority w:val="99"/>
    <w:semiHidden/>
    <w:unhideWhenUsed/>
    <w:rsid w:val="00C83C1A"/>
    <w:rPr>
      <w:color w:val="954F72" w:themeColor="followedHyperlink"/>
      <w:u w:val="single"/>
    </w:rPr>
  </w:style>
  <w:style w:type="paragraph" w:customStyle="1" w:styleId="Default">
    <w:name w:val="Default"/>
    <w:rsid w:val="00B705B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91C72"/>
    <w:pPr>
      <w:tabs>
        <w:tab w:val="center" w:pos="4536"/>
        <w:tab w:val="right" w:pos="9072"/>
      </w:tabs>
      <w:spacing w:after="0" w:line="240" w:lineRule="auto"/>
    </w:pPr>
  </w:style>
  <w:style w:type="character" w:customStyle="1" w:styleId="En-tteCar">
    <w:name w:val="En-tête Car"/>
    <w:basedOn w:val="Policepardfaut"/>
    <w:link w:val="En-tte"/>
    <w:uiPriority w:val="99"/>
    <w:rsid w:val="00A91C72"/>
  </w:style>
  <w:style w:type="paragraph" w:styleId="Pieddepage">
    <w:name w:val="footer"/>
    <w:basedOn w:val="Normal"/>
    <w:link w:val="PieddepageCar"/>
    <w:uiPriority w:val="99"/>
    <w:unhideWhenUsed/>
    <w:rsid w:val="00A91C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5057">
      <w:bodyDiv w:val="1"/>
      <w:marLeft w:val="0"/>
      <w:marRight w:val="0"/>
      <w:marTop w:val="0"/>
      <w:marBottom w:val="0"/>
      <w:divBdr>
        <w:top w:val="none" w:sz="0" w:space="0" w:color="auto"/>
        <w:left w:val="none" w:sz="0" w:space="0" w:color="auto"/>
        <w:bottom w:val="none" w:sz="0" w:space="0" w:color="auto"/>
        <w:right w:val="none" w:sz="0" w:space="0" w:color="auto"/>
      </w:divBdr>
    </w:div>
    <w:div w:id="580413276">
      <w:bodyDiv w:val="1"/>
      <w:marLeft w:val="0"/>
      <w:marRight w:val="0"/>
      <w:marTop w:val="0"/>
      <w:marBottom w:val="0"/>
      <w:divBdr>
        <w:top w:val="none" w:sz="0" w:space="0" w:color="auto"/>
        <w:left w:val="none" w:sz="0" w:space="0" w:color="auto"/>
        <w:bottom w:val="none" w:sz="0" w:space="0" w:color="auto"/>
        <w:right w:val="none" w:sz="0" w:space="0" w:color="auto"/>
      </w:divBdr>
    </w:div>
    <w:div w:id="1147088566">
      <w:bodyDiv w:val="1"/>
      <w:marLeft w:val="0"/>
      <w:marRight w:val="0"/>
      <w:marTop w:val="0"/>
      <w:marBottom w:val="0"/>
      <w:divBdr>
        <w:top w:val="none" w:sz="0" w:space="0" w:color="auto"/>
        <w:left w:val="none" w:sz="0" w:space="0" w:color="auto"/>
        <w:bottom w:val="none" w:sz="0" w:space="0" w:color="auto"/>
        <w:right w:val="none" w:sz="0" w:space="0" w:color="auto"/>
      </w:divBdr>
      <w:divsChild>
        <w:div w:id="267007850">
          <w:marLeft w:val="0"/>
          <w:marRight w:val="0"/>
          <w:marTop w:val="0"/>
          <w:marBottom w:val="300"/>
          <w:divBdr>
            <w:top w:val="none" w:sz="0" w:space="0" w:color="auto"/>
            <w:left w:val="none" w:sz="0" w:space="0" w:color="auto"/>
            <w:bottom w:val="none" w:sz="0" w:space="0" w:color="auto"/>
            <w:right w:val="none" w:sz="0" w:space="0" w:color="auto"/>
          </w:divBdr>
          <w:divsChild>
            <w:div w:id="2045203359">
              <w:marLeft w:val="0"/>
              <w:marRight w:val="0"/>
              <w:marTop w:val="0"/>
              <w:marBottom w:val="0"/>
              <w:divBdr>
                <w:top w:val="none" w:sz="0" w:space="0" w:color="auto"/>
                <w:left w:val="none" w:sz="0" w:space="0" w:color="auto"/>
                <w:bottom w:val="none" w:sz="0" w:space="0" w:color="auto"/>
                <w:right w:val="none" w:sz="0" w:space="0" w:color="auto"/>
              </w:divBdr>
              <w:divsChild>
                <w:div w:id="21233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685">
          <w:marLeft w:val="0"/>
          <w:marRight w:val="0"/>
          <w:marTop w:val="0"/>
          <w:marBottom w:val="0"/>
          <w:divBdr>
            <w:top w:val="none" w:sz="0" w:space="0" w:color="auto"/>
            <w:left w:val="none" w:sz="0" w:space="0" w:color="auto"/>
            <w:bottom w:val="none" w:sz="0" w:space="0" w:color="auto"/>
            <w:right w:val="none" w:sz="0" w:space="0" w:color="auto"/>
          </w:divBdr>
          <w:divsChild>
            <w:div w:id="2118207318">
              <w:marLeft w:val="0"/>
              <w:marRight w:val="0"/>
              <w:marTop w:val="0"/>
              <w:marBottom w:val="0"/>
              <w:divBdr>
                <w:top w:val="none" w:sz="0" w:space="0" w:color="auto"/>
                <w:left w:val="none" w:sz="0" w:space="0" w:color="auto"/>
                <w:bottom w:val="none" w:sz="0" w:space="0" w:color="auto"/>
                <w:right w:val="none" w:sz="0" w:space="0" w:color="auto"/>
              </w:divBdr>
              <w:divsChild>
                <w:div w:id="488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8900">
      <w:bodyDiv w:val="1"/>
      <w:marLeft w:val="0"/>
      <w:marRight w:val="0"/>
      <w:marTop w:val="0"/>
      <w:marBottom w:val="0"/>
      <w:divBdr>
        <w:top w:val="none" w:sz="0" w:space="0" w:color="auto"/>
        <w:left w:val="none" w:sz="0" w:space="0" w:color="auto"/>
        <w:bottom w:val="none" w:sz="0" w:space="0" w:color="auto"/>
        <w:right w:val="none" w:sz="0" w:space="0" w:color="auto"/>
      </w:divBdr>
    </w:div>
    <w:div w:id="1948344474">
      <w:bodyDiv w:val="1"/>
      <w:marLeft w:val="0"/>
      <w:marRight w:val="0"/>
      <w:marTop w:val="0"/>
      <w:marBottom w:val="0"/>
      <w:divBdr>
        <w:top w:val="none" w:sz="0" w:space="0" w:color="auto"/>
        <w:left w:val="none" w:sz="0" w:space="0" w:color="auto"/>
        <w:bottom w:val="none" w:sz="0" w:space="0" w:color="auto"/>
        <w:right w:val="none" w:sz="0" w:space="0" w:color="auto"/>
      </w:divBdr>
      <w:divsChild>
        <w:div w:id="295524698">
          <w:blockQuote w:val="1"/>
          <w:marLeft w:val="0"/>
          <w:marRight w:val="0"/>
          <w:marTop w:val="405"/>
          <w:marBottom w:val="405"/>
          <w:divBdr>
            <w:top w:val="none" w:sz="0" w:space="0" w:color="ED1C24"/>
            <w:left w:val="single" w:sz="12" w:space="20" w:color="ED1C24"/>
            <w:bottom w:val="none" w:sz="0" w:space="0" w:color="ED1C24"/>
            <w:right w:val="none" w:sz="0" w:space="0" w:color="ED1C24"/>
          </w:divBdr>
        </w:div>
      </w:divsChild>
    </w:div>
    <w:div w:id="21434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Part_de_march%C3%A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wikipedia.org/wiki/Carr%C3%A9_(alg%C3%A8bre)" TargetMode="External"/><Relationship Id="rId4" Type="http://schemas.microsoft.com/office/2007/relationships/stylesWithEffects" Target="stylesWithEffects.xml"/><Relationship Id="rId9" Type="http://schemas.openxmlformats.org/officeDocument/2006/relationships/hyperlink" Target="https://fr.wikipedia.org/wiki/Indic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t>Dépôt</a:t>
            </a:r>
            <a:r>
              <a:rPr lang="fr-FR" sz="1000" baseline="0"/>
              <a:t> de brevets en France par les personnes morales, en milliers</a:t>
            </a:r>
            <a:endParaRPr lang="fr-FR" sz="1000"/>
          </a:p>
        </c:rich>
      </c:tx>
      <c:layout>
        <c:manualLayout>
          <c:xMode val="edge"/>
          <c:yMode val="edge"/>
          <c:x val="0.13675678040244971"/>
          <c:y val="3.2407407407407406E-2"/>
        </c:manualLayout>
      </c:layout>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Feuil1!$A$1:$G$1</c:f>
              <c:numCache>
                <c:formatCode>General</c:formatCode>
                <c:ptCount val="7"/>
                <c:pt idx="0">
                  <c:v>2011</c:v>
                </c:pt>
                <c:pt idx="1">
                  <c:v>2012</c:v>
                </c:pt>
                <c:pt idx="2">
                  <c:v>2013</c:v>
                </c:pt>
                <c:pt idx="3">
                  <c:v>2014</c:v>
                </c:pt>
                <c:pt idx="4">
                  <c:v>2015</c:v>
                </c:pt>
                <c:pt idx="5">
                  <c:v>2016</c:v>
                </c:pt>
                <c:pt idx="6">
                  <c:v>2017</c:v>
                </c:pt>
              </c:numCache>
            </c:numRef>
          </c:cat>
          <c:val>
            <c:numRef>
              <c:f>Feuil1!$A$2:$G$2</c:f>
              <c:numCache>
                <c:formatCode>General</c:formatCode>
                <c:ptCount val="7"/>
                <c:pt idx="0">
                  <c:v>14.4</c:v>
                </c:pt>
                <c:pt idx="1">
                  <c:v>14.4</c:v>
                </c:pt>
                <c:pt idx="2">
                  <c:v>14.6</c:v>
                </c:pt>
                <c:pt idx="3">
                  <c:v>14.3</c:v>
                </c:pt>
                <c:pt idx="4" formatCode="0.0">
                  <c:v>14</c:v>
                </c:pt>
                <c:pt idx="5">
                  <c:v>14.1</c:v>
                </c:pt>
                <c:pt idx="6">
                  <c:v>14.2</c:v>
                </c:pt>
              </c:numCache>
            </c:numRef>
          </c:val>
          <c:extLst xmlns:c16r2="http://schemas.microsoft.com/office/drawing/2015/06/chart">
            <c:ext xmlns:c16="http://schemas.microsoft.com/office/drawing/2014/chart" uri="{C3380CC4-5D6E-409C-BE32-E72D297353CC}">
              <c16:uniqueId val="{00000000-CA63-473F-BC8B-13C27DD9239E}"/>
            </c:ext>
          </c:extLst>
        </c:ser>
        <c:dLbls>
          <c:dLblPos val="outEnd"/>
          <c:showLegendKey val="0"/>
          <c:showVal val="1"/>
          <c:showCatName val="0"/>
          <c:showSerName val="0"/>
          <c:showPercent val="0"/>
          <c:showBubbleSize val="0"/>
        </c:dLbls>
        <c:gapWidth val="219"/>
        <c:overlap val="-27"/>
        <c:axId val="147808640"/>
        <c:axId val="147811328"/>
      </c:barChart>
      <c:catAx>
        <c:axId val="147808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7811328"/>
        <c:crosses val="autoZero"/>
        <c:auto val="1"/>
        <c:lblAlgn val="ctr"/>
        <c:lblOffset val="100"/>
        <c:noMultiLvlLbl val="0"/>
      </c:catAx>
      <c:valAx>
        <c:axId val="147811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80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6095-A47F-46B5-B4F3-4650401C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3110</Words>
  <Characters>17111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MEN</cp:lastModifiedBy>
  <cp:revision>6</cp:revision>
  <cp:lastPrinted>2020-02-05T09:47:00Z</cp:lastPrinted>
  <dcterms:created xsi:type="dcterms:W3CDTF">2020-04-07T13:39:00Z</dcterms:created>
  <dcterms:modified xsi:type="dcterms:W3CDTF">2020-04-09T09:55:00Z</dcterms:modified>
</cp:coreProperties>
</file>