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20F" w:rsidRDefault="000A5779" w:rsidP="00EC620F">
      <w:pPr>
        <w:spacing w:line="240" w:lineRule="auto"/>
        <w:ind w:firstLine="0"/>
        <w:jc w:val="center"/>
        <w:rPr>
          <w:b/>
        </w:rPr>
      </w:pPr>
      <w:r>
        <w:rPr>
          <w:b/>
        </w:rPr>
        <w:t>TD</w:t>
      </w:r>
      <w:r w:rsidR="001D3234">
        <w:rPr>
          <w:b/>
        </w:rPr>
        <w:t xml:space="preserve"> </w:t>
      </w:r>
      <w:r>
        <w:rPr>
          <w:b/>
        </w:rPr>
        <w:t xml:space="preserve"> : </w:t>
      </w:r>
      <w:r w:rsidR="00B807D2">
        <w:rPr>
          <w:b/>
        </w:rPr>
        <w:t>Analyse de l’environnement</w:t>
      </w:r>
    </w:p>
    <w:p w:rsidR="001D3234" w:rsidRDefault="001D3234" w:rsidP="00EC620F">
      <w:pPr>
        <w:spacing w:line="240" w:lineRule="auto"/>
        <w:ind w:firstLine="0"/>
        <w:jc w:val="center"/>
        <w:rPr>
          <w:b/>
        </w:rPr>
      </w:pPr>
      <w:r>
        <w:rPr>
          <w:b/>
        </w:rPr>
        <w:t>L’environnement du marché de la restauration rapide (extrait bac)</w:t>
      </w:r>
    </w:p>
    <w:p w:rsidR="001D3234" w:rsidRDefault="001D3234" w:rsidP="00D60398">
      <w:pPr>
        <w:spacing w:after="0" w:line="240" w:lineRule="auto"/>
        <w:ind w:firstLine="0"/>
        <w:rPr>
          <w:rFonts w:cs="Times New Roman"/>
          <w:b/>
        </w:rPr>
      </w:pPr>
    </w:p>
    <w:p w:rsidR="00DE7EA3" w:rsidRPr="00032DA3" w:rsidRDefault="00DE7EA3" w:rsidP="00D60398">
      <w:pPr>
        <w:spacing w:after="0" w:line="240" w:lineRule="auto"/>
        <w:ind w:firstLine="0"/>
        <w:rPr>
          <w:rFonts w:cs="Times New Roman"/>
          <w:b/>
        </w:rPr>
      </w:pPr>
      <w:bookmarkStart w:id="0" w:name="_GoBack"/>
      <w:bookmarkEnd w:id="0"/>
      <w:r w:rsidRPr="00032DA3">
        <w:rPr>
          <w:rFonts w:cs="Times New Roman"/>
          <w:b/>
        </w:rPr>
        <w:t xml:space="preserve">Caractérisez l’environnement du marché de la restauration rapide en France en mettant en évidence les opportunités. </w:t>
      </w:r>
    </w:p>
    <w:p w:rsidR="00DE7EA3" w:rsidRPr="00032DA3" w:rsidRDefault="00DE7EA3" w:rsidP="00032DA3">
      <w:pPr>
        <w:spacing w:after="0" w:line="240" w:lineRule="auto"/>
        <w:ind w:firstLine="0"/>
        <w:jc w:val="left"/>
        <w:rPr>
          <w:rFonts w:cs="Times New Roman"/>
        </w:rPr>
      </w:pPr>
    </w:p>
    <w:p w:rsidR="00DE7EA3" w:rsidRPr="00032DA3" w:rsidRDefault="00DE7EA3" w:rsidP="002A7CEB">
      <w:pPr>
        <w:spacing w:after="0" w:line="240" w:lineRule="auto"/>
        <w:ind w:firstLine="0"/>
        <w:rPr>
          <w:rFonts w:cs="Times New Roman"/>
          <w:b/>
        </w:rPr>
      </w:pPr>
      <w:r w:rsidRPr="00032DA3">
        <w:rPr>
          <w:rFonts w:cs="Times New Roman"/>
          <w:b/>
        </w:rPr>
        <w:t>ANNEXE 1 : La restauration rapide va profiter de la crise</w:t>
      </w:r>
    </w:p>
    <w:p w:rsidR="00DE7EA3" w:rsidRPr="00032DA3" w:rsidRDefault="00DE7EA3" w:rsidP="002A7CEB">
      <w:pPr>
        <w:spacing w:after="0" w:line="240" w:lineRule="auto"/>
        <w:ind w:firstLine="0"/>
        <w:rPr>
          <w:rFonts w:cs="Times New Roman"/>
          <w:color w:val="000000"/>
        </w:rPr>
      </w:pPr>
      <w:r w:rsidRPr="00032DA3">
        <w:rPr>
          <w:rStyle w:val="lev"/>
          <w:rFonts w:cs="Times New Roman"/>
          <w:b w:val="0"/>
          <w:bCs w:val="0"/>
          <w:color w:val="000000"/>
        </w:rPr>
        <w:t>La restauration rapide</w:t>
      </w:r>
      <w:r w:rsidRPr="00032DA3">
        <w:rPr>
          <w:rFonts w:cs="Times New Roman"/>
          <w:color w:val="000000"/>
        </w:rPr>
        <w:t xml:space="preserve"> profite de la crise. Les consommateurs, en ces temps de baisse du pouvoir d'achat, délaissent les restaurants traditionnels de moyenne gamme (service à table) pour privilégier les chaînes de restauration rapide : les fast food, dominés par McDonald’s ou Quick, les croissanteries, les saladeries ou encore les pizzerias où les produits sont à emporter.</w:t>
      </w:r>
    </w:p>
    <w:p w:rsidR="00DE7EA3" w:rsidRPr="00032DA3" w:rsidRDefault="00DE7EA3" w:rsidP="002A7CEB">
      <w:pPr>
        <w:spacing w:after="0" w:line="240" w:lineRule="auto"/>
        <w:ind w:firstLine="0"/>
        <w:rPr>
          <w:rFonts w:cs="Times New Roman"/>
          <w:color w:val="000000"/>
        </w:rPr>
      </w:pPr>
      <w:r w:rsidRPr="00032DA3">
        <w:rPr>
          <w:rFonts w:cs="Times New Roman"/>
          <w:color w:val="000000"/>
        </w:rPr>
        <w:t xml:space="preserve">La restauration rapide représente près de 18 000 établissements répartis sur le sol français. </w:t>
      </w:r>
    </w:p>
    <w:p w:rsidR="00DE7EA3" w:rsidRPr="00032DA3" w:rsidRDefault="00DE7EA3" w:rsidP="002A7CEB">
      <w:pPr>
        <w:spacing w:after="0" w:line="240" w:lineRule="auto"/>
        <w:ind w:firstLine="0"/>
        <w:rPr>
          <w:rFonts w:cs="Times New Roman"/>
          <w:color w:val="000000"/>
        </w:rPr>
      </w:pPr>
      <w:r w:rsidRPr="00032DA3">
        <w:rPr>
          <w:rFonts w:cs="Times New Roman"/>
          <w:color w:val="000000"/>
        </w:rPr>
        <w:t xml:space="preserve">La restauration rapide est un marché atomisé, les établissements de moins de 10 salariés représentent, en 2009, 85 % du tissu commercial. </w:t>
      </w:r>
    </w:p>
    <w:p w:rsidR="00DE7EA3" w:rsidRPr="00032DA3" w:rsidRDefault="00DE7EA3" w:rsidP="002A7CEB">
      <w:pPr>
        <w:spacing w:after="0" w:line="240" w:lineRule="auto"/>
        <w:ind w:firstLine="0"/>
        <w:rPr>
          <w:rFonts w:cs="Times New Roman"/>
          <w:color w:val="000000"/>
        </w:rPr>
      </w:pPr>
      <w:r w:rsidRPr="00032DA3">
        <w:rPr>
          <w:rStyle w:val="lev"/>
          <w:rFonts w:cs="Times New Roman"/>
          <w:b w:val="0"/>
          <w:bCs w:val="0"/>
          <w:color w:val="000000"/>
        </w:rPr>
        <w:t>Ce secteur</w:t>
      </w:r>
      <w:r w:rsidRPr="00032DA3">
        <w:rPr>
          <w:rFonts w:cs="Times New Roman"/>
          <w:color w:val="000000"/>
        </w:rPr>
        <w:t xml:space="preserve"> ne représente qu'un quart du marché de la restauration en valeur, mais sa croissance ne se dément pas depuis plusieurs années. Entre 2000 et 2009, le taux de croissance est de 5,4 % par an en moyenne.</w:t>
      </w:r>
    </w:p>
    <w:p w:rsidR="00DE7EA3" w:rsidRPr="00032DA3" w:rsidRDefault="00DE7EA3" w:rsidP="002A7CEB">
      <w:pPr>
        <w:spacing w:after="0" w:line="240" w:lineRule="auto"/>
        <w:ind w:firstLine="0"/>
        <w:rPr>
          <w:rFonts w:cs="Times New Roman"/>
        </w:rPr>
      </w:pPr>
      <w:r w:rsidRPr="00032DA3">
        <w:rPr>
          <w:rFonts w:cs="Times New Roman"/>
        </w:rPr>
        <w:t>L’essor de la restauration rapide s’inscrit dans une tendance générale de développement de la restauration hors foyer. Globalement, la restauration commerciale (incluant la franchise de restaurant traditionnel) a bénéficié du fait que les Français prennent de plus en plus de repas à l’extérieur. Actuellement, 18 % du budget alimentaire est consacré aux repas hors foyer, contre 11 % il y a 30 ans.</w:t>
      </w:r>
    </w:p>
    <w:p w:rsidR="00DE7EA3" w:rsidRPr="00032DA3" w:rsidRDefault="00DE7EA3" w:rsidP="00032DA3">
      <w:pPr>
        <w:spacing w:after="0" w:line="240" w:lineRule="auto"/>
        <w:rPr>
          <w:rFonts w:cs="Times New Roman"/>
        </w:rPr>
      </w:pPr>
    </w:p>
    <w:p w:rsidR="00DE7EA3" w:rsidRPr="00032DA3" w:rsidRDefault="00DE7EA3" w:rsidP="002A7CEB">
      <w:pPr>
        <w:spacing w:after="0" w:line="240" w:lineRule="auto"/>
        <w:ind w:firstLine="0"/>
        <w:rPr>
          <w:rFonts w:cs="Times New Roman"/>
        </w:rPr>
      </w:pPr>
      <w:r w:rsidRPr="00032DA3">
        <w:rPr>
          <w:rFonts w:cs="Times New Roman"/>
        </w:rPr>
        <w:t>Cet essor s’explique par la conjugaison de trois facteurs clés : la proximité, la rapidité, le budget.</w:t>
      </w:r>
    </w:p>
    <w:p w:rsidR="00DE7EA3" w:rsidRPr="00032DA3" w:rsidRDefault="00DE7EA3" w:rsidP="002A7CEB">
      <w:pPr>
        <w:spacing w:after="0" w:line="240" w:lineRule="auto"/>
        <w:ind w:firstLine="0"/>
        <w:rPr>
          <w:rFonts w:cs="Times New Roman"/>
          <w:color w:val="000000"/>
        </w:rPr>
      </w:pPr>
      <w:r w:rsidRPr="00032DA3">
        <w:rPr>
          <w:rFonts w:cs="Times New Roman"/>
          <w:color w:val="000000"/>
        </w:rPr>
        <w:t xml:space="preserve">Les changements sociaux ont entraîné tout d’abord un éloignement du lieu de travail. </w:t>
      </w:r>
      <w:r w:rsidRPr="00032DA3">
        <w:rPr>
          <w:rFonts w:cs="Times New Roman"/>
        </w:rPr>
        <w:t xml:space="preserve">On ne veut pas se déplacer loin pour déjeuner vite. Le consommateur est ainsi à la recherche d’une formule proche de son lieu de travail. D’autres éléments sont à prendre en compte : </w:t>
      </w:r>
      <w:r w:rsidRPr="00032DA3">
        <w:rPr>
          <w:rFonts w:cs="Times New Roman"/>
          <w:color w:val="000000"/>
        </w:rPr>
        <w:t xml:space="preserve">une augmentation de la population féminine active, une réduction du temps de pause déjeuner et une fragmentation des repas. </w:t>
      </w:r>
    </w:p>
    <w:p w:rsidR="00DE7EA3" w:rsidRPr="00032DA3" w:rsidRDefault="00DE7EA3" w:rsidP="00032DA3">
      <w:pPr>
        <w:pStyle w:val="Corpsdetexte"/>
        <w:rPr>
          <w:rFonts w:ascii="Times New Roman" w:hAnsi="Times New Roman"/>
          <w:sz w:val="22"/>
          <w:szCs w:val="22"/>
        </w:rPr>
      </w:pPr>
      <w:r w:rsidRPr="00032DA3">
        <w:rPr>
          <w:rFonts w:ascii="Times New Roman" w:hAnsi="Times New Roman"/>
          <w:sz w:val="22"/>
          <w:szCs w:val="22"/>
        </w:rPr>
        <w:t>Un Français prend en moyenne trois repas par semaine à l’extérieur de son domicile. Et cela essentiellement dans des restaurants de type fast food, snack ou sandwicherie. Il consacre en effet de moins en moins de temps à son repas. En effet, on estime que l’on passe aujourd’hui une bonne demi-heure à table pour une heure entière il y a dix ans et 1 heure 38 en 1975.</w:t>
      </w:r>
    </w:p>
    <w:p w:rsidR="00DE7EA3" w:rsidRPr="00032DA3" w:rsidRDefault="00DE7EA3" w:rsidP="002A7CEB">
      <w:pPr>
        <w:spacing w:after="0" w:line="240" w:lineRule="auto"/>
        <w:ind w:firstLine="0"/>
        <w:rPr>
          <w:rFonts w:cs="Times New Roman"/>
        </w:rPr>
      </w:pPr>
      <w:r w:rsidRPr="00032DA3">
        <w:rPr>
          <w:rStyle w:val="lev"/>
          <w:rFonts w:cs="Times New Roman"/>
          <w:b w:val="0"/>
          <w:bCs w:val="0"/>
          <w:color w:val="000000"/>
        </w:rPr>
        <w:t>A cela s'ajoute</w:t>
      </w:r>
      <w:r w:rsidRPr="00032DA3">
        <w:rPr>
          <w:rFonts w:cs="Times New Roman"/>
          <w:color w:val="000000"/>
        </w:rPr>
        <w:t xml:space="preserve"> une contexte économique difficile en France, une aubaine pour la restauration rapide qui va pouvoir mettre en exergue les prix de ses menus. "Opérant des arbitrages budgétaires dans leurs dépenses, les consommateurs délaisseront en effet les établissements traditionnels, privilégiant partiellement les formules de restauration à petit prix", prédit l’institut Xerfi, dans son étude sur la restauration rapide. </w:t>
      </w:r>
      <w:r w:rsidRPr="00032DA3">
        <w:rPr>
          <w:rFonts w:cs="Times New Roman"/>
        </w:rPr>
        <w:t>Le repas devant être abordable, les entreprises surveillent donc de très près les notes de frais. Ainsi les repas à moins de 7,62 € boisson comprise représentent en France 50 % contre 18 %, 20 ans auparavant.</w:t>
      </w:r>
    </w:p>
    <w:p w:rsidR="00DE7EA3" w:rsidRPr="00032DA3" w:rsidRDefault="00DE7EA3" w:rsidP="00032DA3">
      <w:pPr>
        <w:pStyle w:val="Titre8"/>
        <w:rPr>
          <w:rFonts w:ascii="Times New Roman" w:hAnsi="Times New Roman" w:cs="Times New Roman"/>
          <w:b w:val="0"/>
          <w:i/>
          <w:sz w:val="22"/>
          <w:szCs w:val="22"/>
        </w:rPr>
      </w:pPr>
      <w:r w:rsidRPr="00032DA3">
        <w:rPr>
          <w:rFonts w:ascii="Times New Roman" w:hAnsi="Times New Roman" w:cs="Times New Roman"/>
          <w:b w:val="0"/>
          <w:i/>
          <w:sz w:val="22"/>
          <w:szCs w:val="22"/>
        </w:rPr>
        <w:t>Anne-Sophie Galliano</w:t>
      </w:r>
    </w:p>
    <w:p w:rsidR="00DE7EA3" w:rsidRPr="00032DA3" w:rsidRDefault="00DE7EA3" w:rsidP="00032DA3">
      <w:pPr>
        <w:pStyle w:val="Titre5"/>
        <w:rPr>
          <w:rFonts w:ascii="Times New Roman" w:hAnsi="Times New Roman"/>
          <w:bCs/>
          <w:sz w:val="22"/>
          <w:szCs w:val="22"/>
        </w:rPr>
      </w:pPr>
      <w:r w:rsidRPr="00032DA3">
        <w:rPr>
          <w:rFonts w:ascii="Times New Roman" w:hAnsi="Times New Roman"/>
          <w:bCs/>
          <w:sz w:val="22"/>
          <w:szCs w:val="22"/>
        </w:rPr>
        <w:t>Source : www.e24.fr &amp; www.franchise-selection.com</w:t>
      </w:r>
    </w:p>
    <w:p w:rsidR="00DE7EA3" w:rsidRPr="00032DA3" w:rsidRDefault="00DE7EA3" w:rsidP="00032DA3">
      <w:pPr>
        <w:spacing w:after="0" w:line="240" w:lineRule="auto"/>
        <w:rPr>
          <w:rFonts w:cs="Times New Roman"/>
        </w:rPr>
      </w:pPr>
    </w:p>
    <w:p w:rsidR="00DE7EA3" w:rsidRPr="00032DA3" w:rsidRDefault="00DE7EA3" w:rsidP="00032DA3">
      <w:pPr>
        <w:spacing w:after="0" w:line="240" w:lineRule="auto"/>
        <w:rPr>
          <w:rFonts w:cs="Times New Roman"/>
        </w:rPr>
      </w:pPr>
      <w:r w:rsidRPr="00032DA3">
        <w:rPr>
          <w:rFonts w:cs="Times New Roman"/>
          <w:b/>
          <w:bCs/>
        </w:rPr>
        <w:t>ANNEXE 2 : Les grands acteurs du marché de la restauration rapide en France</w:t>
      </w:r>
    </w:p>
    <w:p w:rsidR="00DE7EA3" w:rsidRPr="00032DA3" w:rsidRDefault="00DE7EA3" w:rsidP="00032DA3">
      <w:pPr>
        <w:spacing w:after="0" w:line="240" w:lineRule="auto"/>
        <w:rPr>
          <w:rFonts w:cs="Times New Roman"/>
        </w:rPr>
      </w:pPr>
    </w:p>
    <w:tbl>
      <w:tblPr>
        <w:tblpPr w:leftFromText="141" w:rightFromText="141" w:vertAnchor="text" w:tblpY="1"/>
        <w:tblOverlap w:val="neve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197"/>
        <w:gridCol w:w="2481"/>
      </w:tblGrid>
      <w:tr w:rsidR="00DE7EA3" w:rsidRPr="00032DA3" w:rsidTr="00885F6B">
        <w:trPr>
          <w:cantSplit/>
        </w:trPr>
        <w:tc>
          <w:tcPr>
            <w:tcW w:w="4606" w:type="dxa"/>
            <w:vAlign w:val="center"/>
          </w:tcPr>
          <w:p w:rsidR="00DE7EA3" w:rsidRPr="00032DA3" w:rsidRDefault="00DE7EA3" w:rsidP="002A7CEB">
            <w:pPr>
              <w:spacing w:after="0" w:line="360" w:lineRule="auto"/>
              <w:ind w:firstLine="0"/>
              <w:jc w:val="center"/>
              <w:rPr>
                <w:rFonts w:cs="Times New Roman"/>
                <w:b/>
                <w:bCs/>
              </w:rPr>
            </w:pPr>
            <w:r w:rsidRPr="00032DA3">
              <w:rPr>
                <w:rFonts w:cs="Times New Roman"/>
                <w:b/>
                <w:bCs/>
              </w:rPr>
              <w:t>Enseignes</w:t>
            </w:r>
          </w:p>
        </w:tc>
        <w:tc>
          <w:tcPr>
            <w:tcW w:w="2197" w:type="dxa"/>
            <w:vAlign w:val="center"/>
          </w:tcPr>
          <w:p w:rsidR="00DE7EA3" w:rsidRPr="00032DA3" w:rsidRDefault="00DE7EA3" w:rsidP="002A7CEB">
            <w:pPr>
              <w:spacing w:after="0" w:line="360" w:lineRule="auto"/>
              <w:ind w:firstLine="0"/>
              <w:jc w:val="center"/>
              <w:rPr>
                <w:rFonts w:cs="Times New Roman"/>
                <w:b/>
                <w:bCs/>
              </w:rPr>
            </w:pPr>
            <w:r w:rsidRPr="00032DA3">
              <w:rPr>
                <w:rFonts w:cs="Times New Roman"/>
                <w:b/>
                <w:bCs/>
              </w:rPr>
              <w:t>CA 2009</w:t>
            </w:r>
          </w:p>
          <w:p w:rsidR="00DE7EA3" w:rsidRPr="00032DA3" w:rsidRDefault="00DE7EA3" w:rsidP="002A7CEB">
            <w:pPr>
              <w:spacing w:after="0" w:line="360" w:lineRule="auto"/>
              <w:ind w:firstLine="0"/>
              <w:jc w:val="center"/>
              <w:rPr>
                <w:rFonts w:cs="Times New Roman"/>
                <w:b/>
                <w:bCs/>
              </w:rPr>
            </w:pPr>
            <w:r w:rsidRPr="00032DA3">
              <w:rPr>
                <w:rFonts w:cs="Times New Roman"/>
                <w:b/>
                <w:bCs/>
              </w:rPr>
              <w:t>(en millions d’€)</w:t>
            </w:r>
          </w:p>
        </w:tc>
        <w:tc>
          <w:tcPr>
            <w:tcW w:w="2481" w:type="dxa"/>
            <w:vAlign w:val="center"/>
          </w:tcPr>
          <w:p w:rsidR="00DE7EA3" w:rsidRPr="00032DA3" w:rsidRDefault="00DE7EA3" w:rsidP="002A7CEB">
            <w:pPr>
              <w:spacing w:after="0" w:line="360" w:lineRule="auto"/>
              <w:ind w:firstLine="0"/>
              <w:jc w:val="center"/>
              <w:rPr>
                <w:rFonts w:cs="Times New Roman"/>
                <w:b/>
                <w:bCs/>
              </w:rPr>
            </w:pPr>
            <w:r w:rsidRPr="00032DA3">
              <w:rPr>
                <w:rFonts w:cs="Times New Roman"/>
                <w:b/>
                <w:bCs/>
              </w:rPr>
              <w:t>Nombre de restaurants en 2009</w:t>
            </w:r>
          </w:p>
        </w:tc>
      </w:tr>
      <w:tr w:rsidR="002A7CEB" w:rsidRPr="00032DA3" w:rsidTr="00386B72">
        <w:tc>
          <w:tcPr>
            <w:tcW w:w="4606" w:type="dxa"/>
            <w:vAlign w:val="center"/>
          </w:tcPr>
          <w:p w:rsidR="002A7CEB" w:rsidRPr="00032DA3" w:rsidRDefault="002A7CEB" w:rsidP="002A7CEB">
            <w:pPr>
              <w:spacing w:after="0" w:line="360" w:lineRule="auto"/>
              <w:ind w:firstLine="0"/>
              <w:rPr>
                <w:rFonts w:cs="Times New Roman"/>
              </w:rPr>
            </w:pPr>
            <w:r w:rsidRPr="00032DA3">
              <w:rPr>
                <w:rFonts w:cs="Times New Roman"/>
                <w:bCs/>
              </w:rPr>
              <w:t xml:space="preserve">McDonald’s France </w:t>
            </w:r>
            <w:r w:rsidRPr="00032DA3">
              <w:rPr>
                <w:rFonts w:cs="Times New Roman"/>
              </w:rPr>
              <w:t>(McDonald’s)</w:t>
            </w:r>
          </w:p>
        </w:tc>
        <w:tc>
          <w:tcPr>
            <w:tcW w:w="2197" w:type="dxa"/>
            <w:vAlign w:val="center"/>
          </w:tcPr>
          <w:p w:rsidR="002A7CEB" w:rsidRPr="00032DA3" w:rsidRDefault="002A7CEB" w:rsidP="002A7CEB">
            <w:pPr>
              <w:spacing w:after="0" w:line="360" w:lineRule="auto"/>
              <w:ind w:firstLine="0"/>
              <w:jc w:val="right"/>
              <w:rPr>
                <w:rFonts w:cs="Times New Roman"/>
              </w:rPr>
            </w:pPr>
            <w:r w:rsidRPr="00032DA3">
              <w:rPr>
                <w:rFonts w:cs="Times New Roman"/>
              </w:rPr>
              <w:t>3 600,0</w:t>
            </w:r>
          </w:p>
        </w:tc>
        <w:tc>
          <w:tcPr>
            <w:tcW w:w="2481" w:type="dxa"/>
            <w:vAlign w:val="center"/>
          </w:tcPr>
          <w:p w:rsidR="002A7CEB" w:rsidRPr="00032DA3" w:rsidRDefault="002A7CEB" w:rsidP="002A7CEB">
            <w:pPr>
              <w:spacing w:after="0" w:line="360" w:lineRule="auto"/>
              <w:ind w:firstLine="0"/>
              <w:jc w:val="right"/>
              <w:rPr>
                <w:rFonts w:cs="Times New Roman"/>
              </w:rPr>
            </w:pPr>
            <w:r w:rsidRPr="00032DA3">
              <w:rPr>
                <w:rFonts w:cs="Times New Roman"/>
              </w:rPr>
              <w:t>1 170</w:t>
            </w:r>
          </w:p>
        </w:tc>
      </w:tr>
      <w:tr w:rsidR="002A7CEB" w:rsidRPr="00032DA3" w:rsidTr="006A0194">
        <w:tc>
          <w:tcPr>
            <w:tcW w:w="4606" w:type="dxa"/>
            <w:vAlign w:val="center"/>
          </w:tcPr>
          <w:p w:rsidR="002A7CEB" w:rsidRPr="00032DA3" w:rsidRDefault="002A7CEB" w:rsidP="002A7CEB">
            <w:pPr>
              <w:spacing w:after="0" w:line="360" w:lineRule="auto"/>
              <w:ind w:firstLine="0"/>
              <w:rPr>
                <w:rFonts w:cs="Times New Roman"/>
              </w:rPr>
            </w:pPr>
            <w:r w:rsidRPr="00032DA3">
              <w:rPr>
                <w:rFonts w:cs="Times New Roman"/>
                <w:bCs/>
              </w:rPr>
              <w:t xml:space="preserve">Financière Quick SAS </w:t>
            </w:r>
            <w:r w:rsidRPr="00032DA3">
              <w:rPr>
                <w:rFonts w:cs="Times New Roman"/>
              </w:rPr>
              <w:t>(Quick)</w:t>
            </w:r>
          </w:p>
        </w:tc>
        <w:tc>
          <w:tcPr>
            <w:tcW w:w="2197" w:type="dxa"/>
            <w:vAlign w:val="center"/>
          </w:tcPr>
          <w:p w:rsidR="002A7CEB" w:rsidRPr="00032DA3" w:rsidRDefault="002A7CEB" w:rsidP="002A7CEB">
            <w:pPr>
              <w:spacing w:after="0" w:line="360" w:lineRule="auto"/>
              <w:ind w:firstLine="0"/>
              <w:jc w:val="right"/>
              <w:rPr>
                <w:rFonts w:cs="Times New Roman"/>
              </w:rPr>
            </w:pPr>
            <w:r w:rsidRPr="00032DA3">
              <w:rPr>
                <w:rFonts w:cs="Times New Roman"/>
              </w:rPr>
              <w:t>865,3</w:t>
            </w:r>
          </w:p>
        </w:tc>
        <w:tc>
          <w:tcPr>
            <w:tcW w:w="2481" w:type="dxa"/>
            <w:vAlign w:val="center"/>
          </w:tcPr>
          <w:p w:rsidR="002A7CEB" w:rsidRPr="00032DA3" w:rsidRDefault="002A7CEB" w:rsidP="002A7CEB">
            <w:pPr>
              <w:spacing w:after="0" w:line="360" w:lineRule="auto"/>
              <w:ind w:firstLine="0"/>
              <w:jc w:val="right"/>
              <w:rPr>
                <w:rFonts w:cs="Times New Roman"/>
              </w:rPr>
            </w:pPr>
            <w:r w:rsidRPr="00032DA3">
              <w:rPr>
                <w:rFonts w:cs="Times New Roman"/>
              </w:rPr>
              <w:t>332</w:t>
            </w:r>
          </w:p>
        </w:tc>
      </w:tr>
      <w:tr w:rsidR="002A7CEB" w:rsidRPr="00032DA3" w:rsidTr="008C6264">
        <w:tc>
          <w:tcPr>
            <w:tcW w:w="4606" w:type="dxa"/>
            <w:vAlign w:val="center"/>
          </w:tcPr>
          <w:p w:rsidR="002A7CEB" w:rsidRPr="00032DA3" w:rsidRDefault="002A7CEB" w:rsidP="002A7CEB">
            <w:pPr>
              <w:spacing w:after="0" w:line="360" w:lineRule="auto"/>
              <w:ind w:firstLine="0"/>
              <w:rPr>
                <w:rFonts w:cs="Times New Roman"/>
              </w:rPr>
            </w:pPr>
            <w:r w:rsidRPr="00032DA3">
              <w:rPr>
                <w:rFonts w:cs="Times New Roman"/>
                <w:bCs/>
              </w:rPr>
              <w:t xml:space="preserve">Groupe Holder </w:t>
            </w:r>
            <w:r w:rsidRPr="00032DA3">
              <w:rPr>
                <w:rFonts w:cs="Times New Roman"/>
              </w:rPr>
              <w:t>(Paul, St Preux, …)</w:t>
            </w:r>
          </w:p>
        </w:tc>
        <w:tc>
          <w:tcPr>
            <w:tcW w:w="2197" w:type="dxa"/>
            <w:vAlign w:val="center"/>
          </w:tcPr>
          <w:p w:rsidR="002A7CEB" w:rsidRPr="00032DA3" w:rsidRDefault="002A7CEB" w:rsidP="002A7CEB">
            <w:pPr>
              <w:spacing w:after="0" w:line="360" w:lineRule="auto"/>
              <w:ind w:firstLine="0"/>
              <w:jc w:val="right"/>
              <w:rPr>
                <w:rFonts w:cs="Times New Roman"/>
              </w:rPr>
            </w:pPr>
            <w:r w:rsidRPr="00032DA3">
              <w:rPr>
                <w:rFonts w:cs="Times New Roman"/>
              </w:rPr>
              <w:t>262,8</w:t>
            </w:r>
          </w:p>
        </w:tc>
        <w:tc>
          <w:tcPr>
            <w:tcW w:w="2481" w:type="dxa"/>
            <w:vAlign w:val="center"/>
          </w:tcPr>
          <w:p w:rsidR="002A7CEB" w:rsidRPr="00032DA3" w:rsidRDefault="002A7CEB" w:rsidP="002A7CEB">
            <w:pPr>
              <w:spacing w:after="0" w:line="360" w:lineRule="auto"/>
              <w:ind w:firstLine="0"/>
              <w:jc w:val="right"/>
              <w:rPr>
                <w:rFonts w:cs="Times New Roman"/>
              </w:rPr>
            </w:pPr>
            <w:r w:rsidRPr="00032DA3">
              <w:rPr>
                <w:rFonts w:cs="Times New Roman"/>
              </w:rPr>
              <w:t>349</w:t>
            </w:r>
          </w:p>
        </w:tc>
      </w:tr>
    </w:tbl>
    <w:p w:rsidR="00DE7EA3" w:rsidRDefault="00DE7EA3" w:rsidP="00032DA3">
      <w:pPr>
        <w:spacing w:after="0" w:line="240" w:lineRule="auto"/>
        <w:rPr>
          <w:rFonts w:cs="Times New Roman"/>
        </w:rPr>
      </w:pPr>
    </w:p>
    <w:p w:rsidR="00032DA3" w:rsidRDefault="00032DA3" w:rsidP="00032DA3">
      <w:pPr>
        <w:spacing w:after="0" w:line="240" w:lineRule="auto"/>
        <w:rPr>
          <w:rFonts w:cs="Times New Roman"/>
        </w:rPr>
      </w:pPr>
    </w:p>
    <w:p w:rsidR="00032DA3" w:rsidRDefault="00032DA3" w:rsidP="00032DA3">
      <w:pPr>
        <w:spacing w:after="0" w:line="240" w:lineRule="auto"/>
        <w:rPr>
          <w:rFonts w:cs="Times New Roman"/>
        </w:rPr>
      </w:pPr>
    </w:p>
    <w:p w:rsidR="00032DA3" w:rsidRDefault="00032DA3" w:rsidP="00032DA3">
      <w:pPr>
        <w:spacing w:after="0" w:line="240" w:lineRule="auto"/>
        <w:rPr>
          <w:rFonts w:cs="Times New Roman"/>
        </w:rPr>
      </w:pPr>
    </w:p>
    <w:p w:rsidR="00032DA3" w:rsidRDefault="00032DA3" w:rsidP="00032DA3">
      <w:pPr>
        <w:spacing w:after="0" w:line="240" w:lineRule="auto"/>
        <w:rPr>
          <w:rFonts w:cs="Times New Roman"/>
        </w:rPr>
      </w:pPr>
    </w:p>
    <w:p w:rsidR="00032DA3" w:rsidRDefault="00032DA3" w:rsidP="00032DA3">
      <w:pPr>
        <w:spacing w:after="0" w:line="240" w:lineRule="auto"/>
        <w:rPr>
          <w:rFonts w:cs="Times New Roman"/>
        </w:rPr>
      </w:pPr>
    </w:p>
    <w:p w:rsidR="00F0554C" w:rsidRDefault="00F0554C" w:rsidP="00032DA3">
      <w:pPr>
        <w:spacing w:after="0" w:line="240" w:lineRule="auto"/>
        <w:rPr>
          <w:rFonts w:cs="Times New Roman"/>
        </w:rPr>
      </w:pPr>
    </w:p>
    <w:p w:rsidR="00F0554C" w:rsidRDefault="00F0554C" w:rsidP="00032DA3">
      <w:pPr>
        <w:spacing w:after="0" w:line="240" w:lineRule="auto"/>
        <w:rPr>
          <w:rFonts w:cs="Times New Roman"/>
        </w:rPr>
      </w:pPr>
    </w:p>
    <w:p w:rsidR="00F0554C" w:rsidRPr="00032DA3" w:rsidRDefault="00F0554C" w:rsidP="00032DA3">
      <w:pPr>
        <w:spacing w:after="0" w:line="240" w:lineRule="auto"/>
        <w:rPr>
          <w:rFonts w:cs="Times New Roman"/>
        </w:rPr>
      </w:pPr>
    </w:p>
    <w:p w:rsidR="00DE7EA3" w:rsidRPr="00032DA3" w:rsidRDefault="00DE7EA3" w:rsidP="00032DA3">
      <w:pPr>
        <w:pStyle w:val="Titre5"/>
        <w:rPr>
          <w:rFonts w:ascii="Times New Roman" w:hAnsi="Times New Roman"/>
          <w:bCs/>
          <w:sz w:val="22"/>
          <w:szCs w:val="22"/>
        </w:rPr>
      </w:pPr>
      <w:r w:rsidRPr="00032DA3">
        <w:rPr>
          <w:rFonts w:ascii="Times New Roman" w:hAnsi="Times New Roman"/>
          <w:sz w:val="22"/>
          <w:szCs w:val="22"/>
        </w:rPr>
        <w:t>Sources : Chiffres estimés d’après les données 2008.</w:t>
      </w:r>
    </w:p>
    <w:p w:rsidR="006D7E45" w:rsidRDefault="006D7E45">
      <w:pPr>
        <w:spacing w:after="200"/>
        <w:ind w:firstLine="0"/>
        <w:jc w:val="left"/>
        <w:rPr>
          <w:rFonts w:cs="Times New Roman"/>
          <w:b/>
          <w:bCs/>
        </w:rPr>
      </w:pPr>
    </w:p>
    <w:p w:rsidR="00DE7EA3" w:rsidRPr="00032DA3" w:rsidRDefault="00DE7EA3" w:rsidP="002A7CEB">
      <w:pPr>
        <w:spacing w:after="0" w:line="240" w:lineRule="auto"/>
        <w:ind w:firstLine="0"/>
        <w:rPr>
          <w:rFonts w:cs="Times New Roman"/>
          <w:b/>
          <w:bCs/>
          <w:color w:val="000000"/>
        </w:rPr>
      </w:pPr>
      <w:r w:rsidRPr="00032DA3">
        <w:rPr>
          <w:rFonts w:cs="Times New Roman"/>
          <w:b/>
          <w:bCs/>
        </w:rPr>
        <w:t xml:space="preserve">ANNEXE 3 : </w:t>
      </w:r>
      <w:r w:rsidRPr="00032DA3">
        <w:rPr>
          <w:rFonts w:cs="Times New Roman"/>
          <w:b/>
          <w:bCs/>
          <w:color w:val="000000"/>
        </w:rPr>
        <w:t>Rencontre avec Bernard Boutboul, Directeur Général de Gira Conseil</w:t>
      </w:r>
    </w:p>
    <w:p w:rsidR="00DE7EA3" w:rsidRPr="00032DA3" w:rsidRDefault="00DE7EA3" w:rsidP="00032DA3">
      <w:pPr>
        <w:spacing w:after="0" w:line="240" w:lineRule="auto"/>
        <w:rPr>
          <w:rFonts w:cs="Times New Roman"/>
          <w:b/>
          <w:bCs/>
          <w:color w:val="000000"/>
        </w:rPr>
      </w:pPr>
    </w:p>
    <w:p w:rsidR="00DE7EA3" w:rsidRPr="00032DA3" w:rsidRDefault="00DE7EA3" w:rsidP="002A7CEB">
      <w:pPr>
        <w:spacing w:after="0" w:line="240" w:lineRule="auto"/>
        <w:ind w:firstLine="0"/>
        <w:rPr>
          <w:rStyle w:val="Accentuation"/>
          <w:rFonts w:cs="Times New Roman"/>
        </w:rPr>
      </w:pPr>
      <w:r w:rsidRPr="00032DA3">
        <w:rPr>
          <w:rFonts w:cs="Times New Roman"/>
          <w:b/>
          <w:bCs/>
          <w:i/>
          <w:iCs/>
        </w:rPr>
        <w:t>Samuel Burner :</w:t>
      </w:r>
      <w:r w:rsidRPr="00032DA3">
        <w:rPr>
          <w:rFonts w:cs="Times New Roman"/>
          <w:i/>
          <w:iCs/>
        </w:rPr>
        <w:t xml:space="preserve"> </w:t>
      </w:r>
      <w:r w:rsidRPr="00032DA3">
        <w:rPr>
          <w:rStyle w:val="Accentuation"/>
          <w:rFonts w:cs="Times New Roman"/>
        </w:rPr>
        <w:t>Quels ont été, selon vous, les principaux évènements marquants de l’année 2009 pour la restauration rapide ?</w:t>
      </w:r>
    </w:p>
    <w:p w:rsidR="00DE7EA3" w:rsidRPr="00032DA3" w:rsidRDefault="00DE7EA3" w:rsidP="00032DA3">
      <w:pPr>
        <w:spacing w:after="0" w:line="240" w:lineRule="auto"/>
        <w:rPr>
          <w:rFonts w:cs="Times New Roman"/>
        </w:rPr>
      </w:pPr>
    </w:p>
    <w:p w:rsidR="00DE7EA3" w:rsidRPr="00032DA3" w:rsidRDefault="00DE7EA3" w:rsidP="002A7CEB">
      <w:pPr>
        <w:spacing w:after="0" w:line="240" w:lineRule="auto"/>
        <w:ind w:firstLine="0"/>
        <w:rPr>
          <w:rFonts w:cs="Times New Roman"/>
        </w:rPr>
      </w:pPr>
      <w:r w:rsidRPr="00032DA3">
        <w:rPr>
          <w:rFonts w:cs="Times New Roman"/>
          <w:b/>
          <w:bCs/>
        </w:rPr>
        <w:t>Bernard Boutboul :</w:t>
      </w:r>
      <w:r w:rsidRPr="00032DA3">
        <w:rPr>
          <w:rFonts w:cs="Times New Roman"/>
        </w:rPr>
        <w:t xml:space="preserve"> L’an passé, une multitude de nouveaux opérateurs se sont intéressés à la restauration rapide. Des initiatives très intéressantes et qualitatives de la part de chefs étoilés, comme Paul Bocuse, m’ont d’ailleurs séduit. La montée en gamme s’est également opérée chez les industriels, dont on retrouve les produits dans les rayons d’hypermarchés. Là aussi, un gros travail a été fait. Autre évènement, le lancement de formules de restauration rapide « low cost », à l’image de l’enseigne Goutu, qui a communiqué sur son sandwich vendu à 1 euro.</w:t>
      </w:r>
    </w:p>
    <w:p w:rsidR="00DE7EA3" w:rsidRPr="00032DA3" w:rsidRDefault="00DE7EA3" w:rsidP="002A7CEB">
      <w:pPr>
        <w:spacing w:after="0" w:line="240" w:lineRule="auto"/>
        <w:ind w:firstLine="0"/>
        <w:rPr>
          <w:rFonts w:cs="Times New Roman"/>
        </w:rPr>
      </w:pPr>
      <w:r w:rsidRPr="00032DA3">
        <w:rPr>
          <w:rFonts w:cs="Times New Roman"/>
        </w:rPr>
        <w:t xml:space="preserve">Mais l’évènement majeur restera l’arrivée de la grande distribution de proximité, avec des déclinaisons de centre-ville. Monoprix avait ouvert la voie il y a quelques années avec son Daily Monop. D’autres l’ont suivi depuis, avec des concepts aboutis comme Carrefour City et Chez Jean (Casino/Relay). Leur point commun : la clé d’entrée est la restauration rapide. Incontestablement, cela présente une nouvelle concurrence, voire une menace pour certaines chaînes de franchise. Aujourd’hui, il existe 18 000 </w:t>
      </w:r>
      <w:r w:rsidRPr="00032DA3">
        <w:rPr>
          <w:rFonts w:cs="Times New Roman"/>
          <w:color w:val="000000"/>
        </w:rPr>
        <w:t>points de vente en France. Le chiffre d’affaires annuel est d’environ 10 milliards d’euros en 2009. Un Français sur trois déjeune sans se mettre à table et un sur trois en faisant autre chose. Un hamburger est vendu pour 9 sandwichs, 16 pizzas et 48 plats de pâtes.</w:t>
      </w:r>
    </w:p>
    <w:p w:rsidR="00DE7EA3" w:rsidRPr="00032DA3" w:rsidRDefault="00DE7EA3" w:rsidP="00032DA3">
      <w:pPr>
        <w:spacing w:after="0" w:line="240" w:lineRule="auto"/>
        <w:rPr>
          <w:rFonts w:cs="Times New Roman"/>
        </w:rPr>
      </w:pPr>
    </w:p>
    <w:p w:rsidR="00DE7EA3" w:rsidRPr="00032DA3" w:rsidRDefault="00DE7EA3" w:rsidP="002A7CEB">
      <w:pPr>
        <w:spacing w:after="0" w:line="240" w:lineRule="auto"/>
        <w:ind w:firstLine="0"/>
        <w:rPr>
          <w:rStyle w:val="Accentuation"/>
          <w:rFonts w:cs="Times New Roman"/>
        </w:rPr>
      </w:pPr>
      <w:r w:rsidRPr="00032DA3">
        <w:rPr>
          <w:rFonts w:cs="Times New Roman"/>
          <w:b/>
          <w:bCs/>
          <w:i/>
          <w:iCs/>
        </w:rPr>
        <w:t xml:space="preserve">Samuel Burner : </w:t>
      </w:r>
      <w:r w:rsidRPr="00032DA3">
        <w:rPr>
          <w:rStyle w:val="Accentuation"/>
          <w:rFonts w:cs="Times New Roman"/>
        </w:rPr>
        <w:t>Quels sont les segments qui se sont le mieux comportés en 2009 ?</w:t>
      </w:r>
    </w:p>
    <w:p w:rsidR="00DE7EA3" w:rsidRPr="00032DA3" w:rsidRDefault="00DE7EA3" w:rsidP="00032DA3">
      <w:pPr>
        <w:spacing w:after="0" w:line="240" w:lineRule="auto"/>
        <w:rPr>
          <w:rFonts w:eastAsia="SimSun" w:cs="Times New Roman"/>
          <w:i/>
          <w:iCs/>
          <w:lang w:eastAsia="zh-CN"/>
        </w:rPr>
      </w:pPr>
    </w:p>
    <w:p w:rsidR="00DE7EA3" w:rsidRPr="00032DA3" w:rsidRDefault="00DE7EA3" w:rsidP="002A7CEB">
      <w:pPr>
        <w:spacing w:after="0" w:line="240" w:lineRule="auto"/>
        <w:ind w:firstLine="0"/>
        <w:rPr>
          <w:rFonts w:cs="Times New Roman"/>
        </w:rPr>
      </w:pPr>
      <w:r w:rsidRPr="00032DA3">
        <w:rPr>
          <w:rFonts w:cs="Times New Roman"/>
          <w:b/>
          <w:bCs/>
        </w:rPr>
        <w:t>Bernard Boutboul :</w:t>
      </w:r>
      <w:r w:rsidRPr="00032DA3">
        <w:rPr>
          <w:rFonts w:cs="Times New Roman"/>
        </w:rPr>
        <w:t xml:space="preserve"> Globalement, l’ensemble de la restauration rapide est gagnant. La restauration rapide traditionnelle, dite à la française, s’en sort très bien. Des chaînes comme </w:t>
      </w:r>
      <w:smartTag w:uri="urn:schemas-microsoft-com:office:smarttags" w:element="PersonName">
        <w:smartTagPr>
          <w:attr w:name="ProductID" w:val="La Brioche Dor￩e"/>
        </w:smartTagPr>
        <w:r w:rsidRPr="00032DA3">
          <w:rPr>
            <w:rFonts w:cs="Times New Roman"/>
          </w:rPr>
          <w:t>La Brioche Dorée</w:t>
        </w:r>
      </w:smartTag>
      <w:r w:rsidRPr="00032DA3">
        <w:rPr>
          <w:rFonts w:cs="Times New Roman"/>
        </w:rPr>
        <w:t xml:space="preserve"> ou Paul améliorent sans cesse leurs fondamentaux. Comme leur maillage</w:t>
      </w:r>
      <w:r w:rsidRPr="00032DA3">
        <w:rPr>
          <w:rStyle w:val="Appelnotedebasdep"/>
          <w:rFonts w:cs="Times New Roman"/>
        </w:rPr>
        <w:footnoteReference w:id="1"/>
      </w:r>
      <w:r w:rsidRPr="00032DA3">
        <w:rPr>
          <w:rFonts w:cs="Times New Roman"/>
        </w:rPr>
        <w:t xml:space="preserve"> du territoire hexagonal est très avancé, ils doivent désormais développer leurs chiffres d’affaires à périmètre constant. </w:t>
      </w:r>
    </w:p>
    <w:p w:rsidR="00DE7EA3" w:rsidRPr="00032DA3" w:rsidRDefault="00DE7EA3" w:rsidP="002A7CEB">
      <w:pPr>
        <w:spacing w:after="0" w:line="240" w:lineRule="auto"/>
        <w:ind w:firstLine="0"/>
        <w:rPr>
          <w:rFonts w:cs="Times New Roman"/>
        </w:rPr>
      </w:pPr>
      <w:r w:rsidRPr="00032DA3">
        <w:rPr>
          <w:rFonts w:cs="Times New Roman"/>
        </w:rPr>
        <w:t>Les formules asiatiques et les acteurs de la pizza se sont également bien comportés l’an passé. […]</w:t>
      </w:r>
    </w:p>
    <w:p w:rsidR="00DE7EA3" w:rsidRPr="00032DA3" w:rsidRDefault="00DE7EA3" w:rsidP="00032DA3">
      <w:pPr>
        <w:pStyle w:val="Titre5"/>
        <w:rPr>
          <w:rFonts w:ascii="Times New Roman" w:hAnsi="Times New Roman"/>
          <w:bCs/>
          <w:sz w:val="22"/>
          <w:szCs w:val="22"/>
        </w:rPr>
      </w:pPr>
      <w:r w:rsidRPr="00032DA3">
        <w:rPr>
          <w:rFonts w:ascii="Times New Roman" w:hAnsi="Times New Roman"/>
          <w:bCs/>
          <w:sz w:val="22"/>
          <w:szCs w:val="22"/>
        </w:rPr>
        <w:t>Source : Gira Conseil</w:t>
      </w:r>
    </w:p>
    <w:p w:rsidR="00DE7EA3" w:rsidRPr="00032DA3" w:rsidRDefault="00DE7EA3" w:rsidP="00032DA3">
      <w:pPr>
        <w:spacing w:after="0" w:line="240" w:lineRule="auto"/>
        <w:rPr>
          <w:rFonts w:cs="Times New Roman"/>
        </w:rPr>
      </w:pPr>
    </w:p>
    <w:p w:rsidR="00DE7EA3" w:rsidRPr="00032DA3" w:rsidRDefault="00DE7EA3" w:rsidP="002A7CEB">
      <w:pPr>
        <w:spacing w:after="0" w:line="240" w:lineRule="auto"/>
        <w:ind w:firstLine="0"/>
        <w:rPr>
          <w:rFonts w:cs="Times New Roman"/>
          <w:b/>
          <w:bCs/>
        </w:rPr>
      </w:pPr>
      <w:r w:rsidRPr="00032DA3">
        <w:rPr>
          <w:rFonts w:cs="Times New Roman"/>
          <w:b/>
          <w:bCs/>
        </w:rPr>
        <w:t>ANNEXE 4 : Les deux grands circuits de la restauration commerciale en France en 2009</w:t>
      </w:r>
    </w:p>
    <w:p w:rsidR="00DE7EA3" w:rsidRPr="00032DA3" w:rsidRDefault="00DE7EA3" w:rsidP="00032DA3">
      <w:pPr>
        <w:spacing w:after="0" w:line="240" w:lineRule="auto"/>
        <w:rPr>
          <w:rFonts w:cs="Times New Roman"/>
        </w:rPr>
      </w:pPr>
    </w:p>
    <w:p w:rsidR="00DE7EA3" w:rsidRPr="00032DA3" w:rsidRDefault="00DE7EA3" w:rsidP="002A7CEB">
      <w:pPr>
        <w:spacing w:after="0" w:line="240" w:lineRule="auto"/>
        <w:ind w:firstLine="0"/>
        <w:rPr>
          <w:rFonts w:cs="Times New Roman"/>
        </w:rPr>
      </w:pPr>
      <w:r w:rsidRPr="00032DA3">
        <w:rPr>
          <w:rFonts w:cs="Times New Roman"/>
        </w:rPr>
        <w:t>La restauration commerciale inclut deux grands circuits.</w:t>
      </w:r>
    </w:p>
    <w:p w:rsidR="00DE7EA3" w:rsidRPr="00032DA3" w:rsidRDefault="00DE7EA3" w:rsidP="00032DA3">
      <w:pPr>
        <w:spacing w:after="0" w:line="240" w:lineRule="auto"/>
        <w:rPr>
          <w:rFonts w:cs="Times New Roman"/>
        </w:rPr>
      </w:pPr>
      <w:r w:rsidRPr="00032DA3">
        <w:rPr>
          <w:rFonts w:cs="Times New Roman"/>
        </w:rPr>
        <w:t xml:space="preserve"> - La </w:t>
      </w:r>
      <w:r w:rsidRPr="00032DA3">
        <w:rPr>
          <w:rFonts w:cs="Times New Roman"/>
          <w:b/>
          <w:bCs/>
        </w:rPr>
        <w:t>restauration rapide</w:t>
      </w:r>
      <w:r w:rsidRPr="00032DA3">
        <w:rPr>
          <w:rFonts w:cs="Times New Roman"/>
        </w:rPr>
        <w:t> : fast-foods, pizzas vente à emporter/livrée, sandwicheries, boulangeries, traiteurs, GMS (Grandes et Moyennes Surfaces), cafétérias ;</w:t>
      </w:r>
    </w:p>
    <w:p w:rsidR="00DE7EA3" w:rsidRPr="00032DA3" w:rsidRDefault="00DE7EA3" w:rsidP="00032DA3">
      <w:pPr>
        <w:spacing w:after="0" w:line="240" w:lineRule="auto"/>
        <w:rPr>
          <w:rFonts w:cs="Times New Roman"/>
        </w:rPr>
      </w:pPr>
      <w:r w:rsidRPr="00032DA3">
        <w:rPr>
          <w:rFonts w:cs="Times New Roman"/>
        </w:rPr>
        <w:t xml:space="preserve">- La </w:t>
      </w:r>
      <w:r w:rsidRPr="00032DA3">
        <w:rPr>
          <w:rFonts w:cs="Times New Roman"/>
          <w:b/>
          <w:bCs/>
        </w:rPr>
        <w:t>restauration avec service à table</w:t>
      </w:r>
      <w:r w:rsidRPr="00032DA3">
        <w:rPr>
          <w:rFonts w:cs="Times New Roman"/>
        </w:rPr>
        <w:t> : cafés/bars/brasseries, restauration à thème, restauration non thématique.</w:t>
      </w:r>
    </w:p>
    <w:p w:rsidR="00DE7EA3" w:rsidRPr="00032DA3" w:rsidRDefault="00DE7EA3" w:rsidP="00032DA3">
      <w:pPr>
        <w:spacing w:after="0" w:line="240" w:lineRule="auto"/>
        <w:rPr>
          <w:rFonts w:cs="Times New Roman"/>
        </w:rPr>
      </w:pPr>
    </w:p>
    <w:p w:rsidR="00DE7EA3" w:rsidRPr="00032DA3" w:rsidRDefault="00DE7EA3" w:rsidP="00032DA3">
      <w:pPr>
        <w:pStyle w:val="Titre4"/>
        <w:rPr>
          <w:rFonts w:ascii="Times New Roman" w:hAnsi="Times New Roman"/>
          <w:sz w:val="22"/>
          <w:szCs w:val="22"/>
        </w:rPr>
      </w:pPr>
      <w:r w:rsidRPr="00032DA3">
        <w:rPr>
          <w:rFonts w:ascii="Times New Roman" w:hAnsi="Times New Roman"/>
          <w:sz w:val="22"/>
          <w:szCs w:val="22"/>
        </w:rPr>
        <w:t>Poids de visites des circuits</w:t>
      </w:r>
    </w:p>
    <w:p w:rsidR="00DE7EA3" w:rsidRPr="00032DA3" w:rsidRDefault="00DE7EA3" w:rsidP="00032DA3">
      <w:pPr>
        <w:spacing w:after="0" w:line="240" w:lineRule="auto"/>
        <w:rPr>
          <w:rFonts w:cs="Times New Roman"/>
        </w:rPr>
      </w:pPr>
    </w:p>
    <w:tbl>
      <w:tblPr>
        <w:tblW w:w="0" w:type="auto"/>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5"/>
      </w:tblGrid>
      <w:tr w:rsidR="00DE7EA3" w:rsidRPr="00032DA3" w:rsidTr="002A7CEB">
        <w:tc>
          <w:tcPr>
            <w:tcW w:w="4605" w:type="dxa"/>
          </w:tcPr>
          <w:p w:rsidR="00DE7EA3" w:rsidRPr="00032DA3" w:rsidRDefault="00DE7EA3" w:rsidP="00032DA3">
            <w:pPr>
              <w:spacing w:after="0" w:line="240" w:lineRule="auto"/>
              <w:jc w:val="center"/>
              <w:rPr>
                <w:rFonts w:cs="Times New Roman"/>
                <w:b/>
                <w:bCs/>
              </w:rPr>
            </w:pPr>
            <w:r w:rsidRPr="00032DA3">
              <w:rPr>
                <w:rFonts w:cs="Times New Roman"/>
                <w:b/>
                <w:bCs/>
              </w:rPr>
              <w:t>Circuits</w:t>
            </w:r>
          </w:p>
        </w:tc>
        <w:tc>
          <w:tcPr>
            <w:tcW w:w="4605" w:type="dxa"/>
          </w:tcPr>
          <w:p w:rsidR="00DE7EA3" w:rsidRPr="00032DA3" w:rsidRDefault="00DE7EA3" w:rsidP="00032DA3">
            <w:pPr>
              <w:spacing w:after="0" w:line="240" w:lineRule="auto"/>
              <w:jc w:val="center"/>
              <w:rPr>
                <w:rFonts w:cs="Times New Roman"/>
                <w:b/>
                <w:bCs/>
              </w:rPr>
            </w:pPr>
            <w:r w:rsidRPr="00032DA3">
              <w:rPr>
                <w:rFonts w:cs="Times New Roman"/>
                <w:b/>
                <w:bCs/>
              </w:rPr>
              <w:t>Poids en %</w:t>
            </w:r>
          </w:p>
        </w:tc>
      </w:tr>
      <w:tr w:rsidR="00DE7EA3" w:rsidRPr="00032DA3" w:rsidTr="002A7CEB">
        <w:tc>
          <w:tcPr>
            <w:tcW w:w="4605" w:type="dxa"/>
          </w:tcPr>
          <w:p w:rsidR="00DE7EA3" w:rsidRPr="00032DA3" w:rsidRDefault="00DE7EA3" w:rsidP="00032DA3">
            <w:pPr>
              <w:spacing w:after="0" w:line="240" w:lineRule="auto"/>
              <w:rPr>
                <w:rFonts w:cs="Times New Roman"/>
              </w:rPr>
            </w:pPr>
            <w:r w:rsidRPr="00032DA3">
              <w:rPr>
                <w:rFonts w:cs="Times New Roman"/>
              </w:rPr>
              <w:t>Restauration rapide</w:t>
            </w:r>
          </w:p>
        </w:tc>
        <w:tc>
          <w:tcPr>
            <w:tcW w:w="4605" w:type="dxa"/>
          </w:tcPr>
          <w:p w:rsidR="00DE7EA3" w:rsidRPr="00032DA3" w:rsidRDefault="00DE7EA3" w:rsidP="00032DA3">
            <w:pPr>
              <w:spacing w:after="0" w:line="240" w:lineRule="auto"/>
              <w:jc w:val="center"/>
              <w:rPr>
                <w:rFonts w:cs="Times New Roman"/>
              </w:rPr>
            </w:pPr>
            <w:r w:rsidRPr="00032DA3">
              <w:rPr>
                <w:rFonts w:cs="Times New Roman"/>
              </w:rPr>
              <w:t>72,5 %</w:t>
            </w:r>
          </w:p>
        </w:tc>
      </w:tr>
      <w:tr w:rsidR="00DE7EA3" w:rsidRPr="00032DA3" w:rsidTr="002A7CEB">
        <w:tc>
          <w:tcPr>
            <w:tcW w:w="4605" w:type="dxa"/>
          </w:tcPr>
          <w:p w:rsidR="00DE7EA3" w:rsidRPr="00032DA3" w:rsidRDefault="00DE7EA3" w:rsidP="00032DA3">
            <w:pPr>
              <w:spacing w:after="0" w:line="240" w:lineRule="auto"/>
              <w:rPr>
                <w:rFonts w:cs="Times New Roman"/>
              </w:rPr>
            </w:pPr>
            <w:r w:rsidRPr="00032DA3">
              <w:rPr>
                <w:rFonts w:cs="Times New Roman"/>
              </w:rPr>
              <w:t>Restauration à table</w:t>
            </w:r>
          </w:p>
        </w:tc>
        <w:tc>
          <w:tcPr>
            <w:tcW w:w="4605" w:type="dxa"/>
          </w:tcPr>
          <w:p w:rsidR="00DE7EA3" w:rsidRPr="00032DA3" w:rsidRDefault="00DE7EA3" w:rsidP="00032DA3">
            <w:pPr>
              <w:spacing w:after="0" w:line="240" w:lineRule="auto"/>
              <w:jc w:val="center"/>
              <w:rPr>
                <w:rFonts w:cs="Times New Roman"/>
              </w:rPr>
            </w:pPr>
            <w:r w:rsidRPr="00032DA3">
              <w:rPr>
                <w:rFonts w:cs="Times New Roman"/>
              </w:rPr>
              <w:t>27,5 %</w:t>
            </w:r>
          </w:p>
        </w:tc>
      </w:tr>
    </w:tbl>
    <w:p w:rsidR="00DE7EA3" w:rsidRPr="00032DA3" w:rsidRDefault="00DE7EA3" w:rsidP="00032DA3">
      <w:pPr>
        <w:pStyle w:val="Titre5"/>
        <w:rPr>
          <w:rFonts w:ascii="Times New Roman" w:hAnsi="Times New Roman"/>
          <w:bCs/>
          <w:sz w:val="22"/>
          <w:szCs w:val="22"/>
          <w:lang w:val="en-GB"/>
        </w:rPr>
      </w:pPr>
      <w:r w:rsidRPr="00032DA3">
        <w:rPr>
          <w:rFonts w:ascii="Times New Roman" w:hAnsi="Times New Roman"/>
          <w:bCs/>
          <w:sz w:val="22"/>
          <w:szCs w:val="22"/>
          <w:lang w:val="en-GB"/>
        </w:rPr>
        <w:t>Source : NPD Group, Panel CREST</w:t>
      </w:r>
    </w:p>
    <w:sectPr w:rsidR="00DE7EA3" w:rsidRPr="00032DA3" w:rsidSect="004764B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E41" w:rsidRDefault="00472E41" w:rsidP="00FA0EB0">
      <w:pPr>
        <w:spacing w:after="0" w:line="240" w:lineRule="auto"/>
      </w:pPr>
      <w:r>
        <w:separator/>
      </w:r>
    </w:p>
  </w:endnote>
  <w:endnote w:type="continuationSeparator" w:id="0">
    <w:p w:rsidR="00472E41" w:rsidRDefault="00472E41" w:rsidP="00FA0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60183"/>
      <w:docPartObj>
        <w:docPartGallery w:val="Page Numbers (Bottom of Page)"/>
        <w:docPartUnique/>
      </w:docPartObj>
    </w:sdtPr>
    <w:sdtEndPr/>
    <w:sdtContent>
      <w:sdt>
        <w:sdtPr>
          <w:id w:val="98381352"/>
          <w:docPartObj>
            <w:docPartGallery w:val="Page Numbers (Top of Page)"/>
            <w:docPartUnique/>
          </w:docPartObj>
        </w:sdtPr>
        <w:sdtEndPr/>
        <w:sdtContent>
          <w:p w:rsidR="00A731C4" w:rsidRDefault="00A731C4">
            <w:pPr>
              <w:pStyle w:val="Pieddepage"/>
            </w:pPr>
            <w:r>
              <w:t xml:space="preserve">Page </w:t>
            </w:r>
            <w:r w:rsidR="008A0737">
              <w:rPr>
                <w:b/>
                <w:sz w:val="24"/>
                <w:szCs w:val="24"/>
              </w:rPr>
              <w:fldChar w:fldCharType="begin"/>
            </w:r>
            <w:r>
              <w:rPr>
                <w:b/>
              </w:rPr>
              <w:instrText>PAGE</w:instrText>
            </w:r>
            <w:r w:rsidR="008A0737">
              <w:rPr>
                <w:b/>
                <w:sz w:val="24"/>
                <w:szCs w:val="24"/>
              </w:rPr>
              <w:fldChar w:fldCharType="separate"/>
            </w:r>
            <w:r w:rsidR="001D3234">
              <w:rPr>
                <w:b/>
                <w:noProof/>
                <w:sz w:val="24"/>
                <w:szCs w:val="24"/>
              </w:rPr>
              <w:t>1</w:t>
            </w:r>
            <w:r w:rsidR="008A0737">
              <w:rPr>
                <w:b/>
                <w:sz w:val="24"/>
                <w:szCs w:val="24"/>
              </w:rPr>
              <w:fldChar w:fldCharType="end"/>
            </w:r>
            <w:r>
              <w:t xml:space="preserve"> sur </w:t>
            </w:r>
            <w:r w:rsidR="008A0737">
              <w:rPr>
                <w:b/>
                <w:sz w:val="24"/>
                <w:szCs w:val="24"/>
              </w:rPr>
              <w:fldChar w:fldCharType="begin"/>
            </w:r>
            <w:r>
              <w:rPr>
                <w:b/>
              </w:rPr>
              <w:instrText>NUMPAGES</w:instrText>
            </w:r>
            <w:r w:rsidR="008A0737">
              <w:rPr>
                <w:b/>
                <w:sz w:val="24"/>
                <w:szCs w:val="24"/>
              </w:rPr>
              <w:fldChar w:fldCharType="separate"/>
            </w:r>
            <w:r w:rsidR="001D3234">
              <w:rPr>
                <w:b/>
                <w:noProof/>
                <w:sz w:val="24"/>
                <w:szCs w:val="24"/>
              </w:rPr>
              <w:t>2</w:t>
            </w:r>
            <w:r w:rsidR="008A0737">
              <w:rPr>
                <w:b/>
                <w:sz w:val="24"/>
                <w:szCs w:val="24"/>
              </w:rPr>
              <w:fldChar w:fldCharType="end"/>
            </w:r>
          </w:p>
        </w:sdtContent>
      </w:sdt>
    </w:sdtContent>
  </w:sdt>
  <w:p w:rsidR="00FA0EB0" w:rsidRDefault="00FA0E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E41" w:rsidRDefault="00472E41" w:rsidP="00FA0EB0">
      <w:pPr>
        <w:spacing w:after="0" w:line="240" w:lineRule="auto"/>
      </w:pPr>
      <w:r>
        <w:separator/>
      </w:r>
    </w:p>
  </w:footnote>
  <w:footnote w:type="continuationSeparator" w:id="0">
    <w:p w:rsidR="00472E41" w:rsidRDefault="00472E41" w:rsidP="00FA0EB0">
      <w:pPr>
        <w:spacing w:after="0" w:line="240" w:lineRule="auto"/>
      </w:pPr>
      <w:r>
        <w:continuationSeparator/>
      </w:r>
    </w:p>
  </w:footnote>
  <w:footnote w:id="1">
    <w:p w:rsidR="00DE7EA3" w:rsidRPr="00B6628C" w:rsidRDefault="00DE7EA3" w:rsidP="00DE7EA3">
      <w:pPr>
        <w:pStyle w:val="Notedebasdepage"/>
        <w:spacing w:after="120"/>
        <w:rPr>
          <w:rFonts w:ascii="Arial Narrow" w:hAnsi="Arial Narrow"/>
        </w:rPr>
      </w:pPr>
      <w:r w:rsidRPr="00B6628C">
        <w:rPr>
          <w:rStyle w:val="Appelnotedebasdep"/>
          <w:rFonts w:ascii="Arial Narrow" w:hAnsi="Arial Narrow"/>
        </w:rPr>
        <w:footnoteRef/>
      </w:r>
      <w:r w:rsidRPr="00B6628C">
        <w:rPr>
          <w:rFonts w:ascii="Arial Narrow" w:hAnsi="Arial Narrow"/>
        </w:rPr>
        <w:t xml:space="preserve"> Maillage : importance de l’implantation sur le territoire.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1E79"/>
    <w:multiLevelType w:val="hybridMultilevel"/>
    <w:tmpl w:val="6DFCE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907E15"/>
    <w:multiLevelType w:val="multilevel"/>
    <w:tmpl w:val="6922CC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3866169"/>
    <w:multiLevelType w:val="hybridMultilevel"/>
    <w:tmpl w:val="76E0FB94"/>
    <w:lvl w:ilvl="0" w:tplc="DE68E5FA">
      <w:start w:val="1"/>
      <w:numFmt w:val="decimal"/>
      <w:pStyle w:val="Titre3"/>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 w15:restartNumberingAfterBreak="0">
    <w:nsid w:val="41307EB9"/>
    <w:multiLevelType w:val="hybridMultilevel"/>
    <w:tmpl w:val="8766E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3D2D55"/>
    <w:multiLevelType w:val="hybridMultilevel"/>
    <w:tmpl w:val="9452B3A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D5116FE"/>
    <w:multiLevelType w:val="hybridMultilevel"/>
    <w:tmpl w:val="CA628DCA"/>
    <w:lvl w:ilvl="0" w:tplc="1E6445F2">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2D"/>
    <w:rsid w:val="00011085"/>
    <w:rsid w:val="00032DA3"/>
    <w:rsid w:val="00066013"/>
    <w:rsid w:val="00096F93"/>
    <w:rsid w:val="000A5779"/>
    <w:rsid w:val="000B4A3A"/>
    <w:rsid w:val="000F331B"/>
    <w:rsid w:val="0013065A"/>
    <w:rsid w:val="00151EB9"/>
    <w:rsid w:val="001A766E"/>
    <w:rsid w:val="001D3234"/>
    <w:rsid w:val="001E4B86"/>
    <w:rsid w:val="00215C02"/>
    <w:rsid w:val="00216702"/>
    <w:rsid w:val="002578EE"/>
    <w:rsid w:val="002A5CF4"/>
    <w:rsid w:val="002A7CEB"/>
    <w:rsid w:val="002B4AB9"/>
    <w:rsid w:val="002F04C9"/>
    <w:rsid w:val="00350EF5"/>
    <w:rsid w:val="00377FEC"/>
    <w:rsid w:val="00383CA9"/>
    <w:rsid w:val="003E4B5E"/>
    <w:rsid w:val="004011E8"/>
    <w:rsid w:val="004128D8"/>
    <w:rsid w:val="00425261"/>
    <w:rsid w:val="00444D1A"/>
    <w:rsid w:val="00453278"/>
    <w:rsid w:val="004628BE"/>
    <w:rsid w:val="00472E41"/>
    <w:rsid w:val="0047387B"/>
    <w:rsid w:val="004764B5"/>
    <w:rsid w:val="004D7A7A"/>
    <w:rsid w:val="004E3884"/>
    <w:rsid w:val="00532657"/>
    <w:rsid w:val="00551592"/>
    <w:rsid w:val="005906A8"/>
    <w:rsid w:val="005D7277"/>
    <w:rsid w:val="00643953"/>
    <w:rsid w:val="006572A7"/>
    <w:rsid w:val="00693705"/>
    <w:rsid w:val="006B3488"/>
    <w:rsid w:val="006B3EFD"/>
    <w:rsid w:val="006D7E45"/>
    <w:rsid w:val="00704EFC"/>
    <w:rsid w:val="007A0818"/>
    <w:rsid w:val="007A7DE2"/>
    <w:rsid w:val="00832849"/>
    <w:rsid w:val="008906B1"/>
    <w:rsid w:val="008A0737"/>
    <w:rsid w:val="00950632"/>
    <w:rsid w:val="009876A5"/>
    <w:rsid w:val="009A678C"/>
    <w:rsid w:val="009C7113"/>
    <w:rsid w:val="009E3E09"/>
    <w:rsid w:val="00A13E5D"/>
    <w:rsid w:val="00A1472D"/>
    <w:rsid w:val="00A731C4"/>
    <w:rsid w:val="00A74B29"/>
    <w:rsid w:val="00AC34C8"/>
    <w:rsid w:val="00AE6FFB"/>
    <w:rsid w:val="00B25F5B"/>
    <w:rsid w:val="00B36E7E"/>
    <w:rsid w:val="00B51234"/>
    <w:rsid w:val="00B617B7"/>
    <w:rsid w:val="00B807D2"/>
    <w:rsid w:val="00C14456"/>
    <w:rsid w:val="00C16872"/>
    <w:rsid w:val="00C26B3B"/>
    <w:rsid w:val="00C40134"/>
    <w:rsid w:val="00C77E51"/>
    <w:rsid w:val="00CC3378"/>
    <w:rsid w:val="00CF381E"/>
    <w:rsid w:val="00D00A39"/>
    <w:rsid w:val="00D60398"/>
    <w:rsid w:val="00D77843"/>
    <w:rsid w:val="00DC541E"/>
    <w:rsid w:val="00DE7EA3"/>
    <w:rsid w:val="00E27798"/>
    <w:rsid w:val="00E3595C"/>
    <w:rsid w:val="00E65828"/>
    <w:rsid w:val="00EC620F"/>
    <w:rsid w:val="00F0554C"/>
    <w:rsid w:val="00F326FA"/>
    <w:rsid w:val="00F70C49"/>
    <w:rsid w:val="00F70FB5"/>
    <w:rsid w:val="00F74534"/>
    <w:rsid w:val="00F8125B"/>
    <w:rsid w:val="00F9036B"/>
    <w:rsid w:val="00FA0EB0"/>
    <w:rsid w:val="00FB2EA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8592080"/>
  <w15:docId w15:val="{64966AAC-E3E7-4678-8DE0-EECA40F0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1E8"/>
    <w:pPr>
      <w:spacing w:after="120"/>
      <w:ind w:firstLine="709"/>
      <w:jc w:val="both"/>
    </w:pPr>
    <w:rPr>
      <w:rFonts w:ascii="Times New Roman" w:hAnsi="Times New Roman"/>
    </w:rPr>
  </w:style>
  <w:style w:type="paragraph" w:styleId="Titre1">
    <w:name w:val="heading 1"/>
    <w:basedOn w:val="Normal"/>
    <w:next w:val="Normal"/>
    <w:link w:val="Titre1Car"/>
    <w:autoRedefine/>
    <w:uiPriority w:val="9"/>
    <w:qFormat/>
    <w:rsid w:val="00A13E5D"/>
    <w:pPr>
      <w:keepNext/>
      <w:keepLines/>
      <w:spacing w:before="240" w:after="240" w:line="360" w:lineRule="auto"/>
      <w:outlineLvl w:val="0"/>
    </w:pPr>
    <w:rPr>
      <w:rFonts w:eastAsiaTheme="majorEastAsia" w:cstheme="majorBidi"/>
      <w:bCs/>
      <w:smallCaps/>
      <w:sz w:val="40"/>
      <w:szCs w:val="28"/>
    </w:rPr>
  </w:style>
  <w:style w:type="paragraph" w:styleId="Titre2">
    <w:name w:val="heading 2"/>
    <w:basedOn w:val="Normal"/>
    <w:next w:val="Normal"/>
    <w:link w:val="Titre2Car"/>
    <w:uiPriority w:val="9"/>
    <w:unhideWhenUsed/>
    <w:qFormat/>
    <w:rsid w:val="004011E8"/>
    <w:pPr>
      <w:keepNext/>
      <w:keepLines/>
      <w:spacing w:before="200" w:after="0"/>
      <w:outlineLvl w:val="1"/>
    </w:pPr>
    <w:rPr>
      <w:rFonts w:eastAsiaTheme="majorEastAsia" w:cstheme="majorBidi"/>
      <w:bCs/>
      <w:sz w:val="28"/>
      <w:szCs w:val="26"/>
    </w:rPr>
  </w:style>
  <w:style w:type="paragraph" w:styleId="Titre3">
    <w:name w:val="heading 3"/>
    <w:basedOn w:val="Normal"/>
    <w:next w:val="Normal"/>
    <w:link w:val="Titre3Car"/>
    <w:uiPriority w:val="9"/>
    <w:unhideWhenUsed/>
    <w:qFormat/>
    <w:rsid w:val="004011E8"/>
    <w:pPr>
      <w:keepNext/>
      <w:keepLines/>
      <w:numPr>
        <w:numId w:val="1"/>
      </w:numPr>
      <w:spacing w:before="200" w:after="0"/>
      <w:outlineLvl w:val="2"/>
    </w:pPr>
    <w:rPr>
      <w:rFonts w:eastAsiaTheme="majorEastAsia" w:cstheme="majorBidi"/>
      <w:bCs/>
      <w:sz w:val="24"/>
    </w:rPr>
  </w:style>
  <w:style w:type="paragraph" w:styleId="Titre4">
    <w:name w:val="heading 4"/>
    <w:basedOn w:val="Normal"/>
    <w:next w:val="Normal"/>
    <w:link w:val="Titre4Car"/>
    <w:qFormat/>
    <w:rsid w:val="00DE7EA3"/>
    <w:pPr>
      <w:keepNext/>
      <w:spacing w:after="0" w:line="240" w:lineRule="auto"/>
      <w:ind w:firstLine="0"/>
      <w:jc w:val="center"/>
      <w:outlineLvl w:val="3"/>
    </w:pPr>
    <w:rPr>
      <w:rFonts w:ascii="Arial Narrow" w:eastAsia="Times New Roman" w:hAnsi="Arial Narrow" w:cs="Times New Roman"/>
      <w:b/>
      <w:bCs/>
      <w:sz w:val="24"/>
      <w:szCs w:val="9"/>
      <w:lang w:eastAsia="fr-FR"/>
    </w:rPr>
  </w:style>
  <w:style w:type="paragraph" w:styleId="Titre5">
    <w:name w:val="heading 5"/>
    <w:basedOn w:val="Normal"/>
    <w:next w:val="Normal"/>
    <w:link w:val="Titre5Car"/>
    <w:qFormat/>
    <w:rsid w:val="00DE7EA3"/>
    <w:pPr>
      <w:keepNext/>
      <w:spacing w:after="0" w:line="240" w:lineRule="auto"/>
      <w:ind w:firstLine="0"/>
      <w:jc w:val="right"/>
      <w:outlineLvl w:val="4"/>
    </w:pPr>
    <w:rPr>
      <w:rFonts w:ascii="Arial Narrow" w:eastAsia="Times New Roman" w:hAnsi="Arial Narrow" w:cs="Times New Roman"/>
      <w:i/>
      <w:iCs/>
      <w:sz w:val="24"/>
      <w:szCs w:val="24"/>
      <w:lang w:eastAsia="fr-FR"/>
    </w:rPr>
  </w:style>
  <w:style w:type="paragraph" w:styleId="Titre6">
    <w:name w:val="heading 6"/>
    <w:basedOn w:val="Normal"/>
    <w:next w:val="Normal"/>
    <w:link w:val="Titre6Car"/>
    <w:uiPriority w:val="9"/>
    <w:semiHidden/>
    <w:unhideWhenUsed/>
    <w:qFormat/>
    <w:rsid w:val="00D6039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qFormat/>
    <w:rsid w:val="00DE7EA3"/>
    <w:pPr>
      <w:keepNext/>
      <w:spacing w:after="0" w:line="240" w:lineRule="auto"/>
      <w:ind w:firstLine="0"/>
      <w:jc w:val="right"/>
      <w:outlineLvl w:val="7"/>
    </w:pPr>
    <w:rPr>
      <w:rFonts w:ascii="Arial Narrow" w:eastAsia="Times New Roman" w:hAnsi="Arial Narrow" w:cs="Arial"/>
      <w:b/>
      <w:bCs/>
      <w:color w:val="000000"/>
      <w:sz w:val="24"/>
      <w:szCs w:val="1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13E5D"/>
    <w:rPr>
      <w:rFonts w:ascii="Times New Roman" w:eastAsiaTheme="majorEastAsia" w:hAnsi="Times New Roman" w:cstheme="majorBidi"/>
      <w:bCs/>
      <w:smallCaps/>
      <w:sz w:val="40"/>
      <w:szCs w:val="28"/>
    </w:rPr>
  </w:style>
  <w:style w:type="character" w:customStyle="1" w:styleId="Titre2Car">
    <w:name w:val="Titre 2 Car"/>
    <w:basedOn w:val="Policepardfaut"/>
    <w:link w:val="Titre2"/>
    <w:uiPriority w:val="9"/>
    <w:rsid w:val="004011E8"/>
    <w:rPr>
      <w:rFonts w:ascii="Times New Roman" w:eastAsiaTheme="majorEastAsia" w:hAnsi="Times New Roman" w:cstheme="majorBidi"/>
      <w:bCs/>
      <w:sz w:val="28"/>
      <w:szCs w:val="26"/>
    </w:rPr>
  </w:style>
  <w:style w:type="character" w:customStyle="1" w:styleId="Titre3Car">
    <w:name w:val="Titre 3 Car"/>
    <w:basedOn w:val="Policepardfaut"/>
    <w:link w:val="Titre3"/>
    <w:uiPriority w:val="9"/>
    <w:rsid w:val="004011E8"/>
    <w:rPr>
      <w:rFonts w:ascii="Times New Roman" w:eastAsiaTheme="majorEastAsia" w:hAnsi="Times New Roman" w:cstheme="majorBidi"/>
      <w:bCs/>
      <w:sz w:val="24"/>
    </w:rPr>
  </w:style>
  <w:style w:type="paragraph" w:customStyle="1" w:styleId="figureettableau">
    <w:name w:val="figure et tableau"/>
    <w:basedOn w:val="Normal"/>
    <w:qFormat/>
    <w:rsid w:val="00A13E5D"/>
    <w:pPr>
      <w:spacing w:line="240" w:lineRule="auto"/>
      <w:ind w:firstLine="0"/>
    </w:pPr>
    <w:rPr>
      <w:b/>
      <w:i/>
    </w:rPr>
  </w:style>
  <w:style w:type="table" w:styleId="Grilledutableau">
    <w:name w:val="Table Grid"/>
    <w:basedOn w:val="TableauNormal"/>
    <w:uiPriority w:val="59"/>
    <w:rsid w:val="00693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FA0EB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A0EB0"/>
    <w:rPr>
      <w:rFonts w:ascii="Times New Roman" w:hAnsi="Times New Roman"/>
    </w:rPr>
  </w:style>
  <w:style w:type="paragraph" w:styleId="Pieddepage">
    <w:name w:val="footer"/>
    <w:basedOn w:val="Normal"/>
    <w:link w:val="PieddepageCar"/>
    <w:uiPriority w:val="99"/>
    <w:unhideWhenUsed/>
    <w:rsid w:val="00FA0E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0EB0"/>
    <w:rPr>
      <w:rFonts w:ascii="Times New Roman" w:hAnsi="Times New Roman"/>
    </w:rPr>
  </w:style>
  <w:style w:type="paragraph" w:styleId="Textedebulles">
    <w:name w:val="Balloon Text"/>
    <w:basedOn w:val="Normal"/>
    <w:link w:val="TextedebullesCar"/>
    <w:uiPriority w:val="99"/>
    <w:semiHidden/>
    <w:unhideWhenUsed/>
    <w:rsid w:val="00FA0E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0EB0"/>
    <w:rPr>
      <w:rFonts w:ascii="Tahoma" w:hAnsi="Tahoma" w:cs="Tahoma"/>
      <w:sz w:val="16"/>
      <w:szCs w:val="16"/>
    </w:rPr>
  </w:style>
  <w:style w:type="character" w:customStyle="1" w:styleId="Titre4Car">
    <w:name w:val="Titre 4 Car"/>
    <w:basedOn w:val="Policepardfaut"/>
    <w:link w:val="Titre4"/>
    <w:rsid w:val="00DE7EA3"/>
    <w:rPr>
      <w:rFonts w:ascii="Arial Narrow" w:eastAsia="Times New Roman" w:hAnsi="Arial Narrow" w:cs="Times New Roman"/>
      <w:b/>
      <w:bCs/>
      <w:sz w:val="24"/>
      <w:szCs w:val="9"/>
      <w:lang w:eastAsia="fr-FR"/>
    </w:rPr>
  </w:style>
  <w:style w:type="character" w:customStyle="1" w:styleId="Titre5Car">
    <w:name w:val="Titre 5 Car"/>
    <w:basedOn w:val="Policepardfaut"/>
    <w:link w:val="Titre5"/>
    <w:rsid w:val="00DE7EA3"/>
    <w:rPr>
      <w:rFonts w:ascii="Arial Narrow" w:eastAsia="Times New Roman" w:hAnsi="Arial Narrow" w:cs="Times New Roman"/>
      <w:i/>
      <w:iCs/>
      <w:sz w:val="24"/>
      <w:szCs w:val="24"/>
      <w:lang w:eastAsia="fr-FR"/>
    </w:rPr>
  </w:style>
  <w:style w:type="character" w:customStyle="1" w:styleId="Titre8Car">
    <w:name w:val="Titre 8 Car"/>
    <w:basedOn w:val="Policepardfaut"/>
    <w:link w:val="Titre8"/>
    <w:rsid w:val="00DE7EA3"/>
    <w:rPr>
      <w:rFonts w:ascii="Arial Narrow" w:eastAsia="Times New Roman" w:hAnsi="Arial Narrow" w:cs="Arial"/>
      <w:b/>
      <w:bCs/>
      <w:color w:val="000000"/>
      <w:sz w:val="24"/>
      <w:szCs w:val="17"/>
      <w:lang w:eastAsia="fr-FR"/>
    </w:rPr>
  </w:style>
  <w:style w:type="paragraph" w:styleId="Corpsdetexte">
    <w:name w:val="Body Text"/>
    <w:basedOn w:val="Normal"/>
    <w:link w:val="CorpsdetexteCar"/>
    <w:rsid w:val="00DE7EA3"/>
    <w:pPr>
      <w:spacing w:after="0" w:line="240" w:lineRule="auto"/>
      <w:ind w:firstLine="0"/>
    </w:pPr>
    <w:rPr>
      <w:rFonts w:ascii="Arial Narrow" w:eastAsia="Times New Roman" w:hAnsi="Arial Narrow" w:cs="Times New Roman"/>
      <w:sz w:val="24"/>
      <w:szCs w:val="24"/>
      <w:lang w:eastAsia="fr-FR"/>
    </w:rPr>
  </w:style>
  <w:style w:type="character" w:customStyle="1" w:styleId="CorpsdetexteCar">
    <w:name w:val="Corps de texte Car"/>
    <w:basedOn w:val="Policepardfaut"/>
    <w:link w:val="Corpsdetexte"/>
    <w:rsid w:val="00DE7EA3"/>
    <w:rPr>
      <w:rFonts w:ascii="Arial Narrow" w:eastAsia="Times New Roman" w:hAnsi="Arial Narrow" w:cs="Times New Roman"/>
      <w:sz w:val="24"/>
      <w:szCs w:val="24"/>
      <w:lang w:eastAsia="fr-FR"/>
    </w:rPr>
  </w:style>
  <w:style w:type="character" w:styleId="lev">
    <w:name w:val="Strong"/>
    <w:basedOn w:val="Policepardfaut"/>
    <w:qFormat/>
    <w:rsid w:val="00DE7EA3"/>
    <w:rPr>
      <w:b/>
      <w:bCs/>
    </w:rPr>
  </w:style>
  <w:style w:type="character" w:styleId="Accentuation">
    <w:name w:val="Emphasis"/>
    <w:basedOn w:val="Policepardfaut"/>
    <w:qFormat/>
    <w:rsid w:val="00DE7EA3"/>
    <w:rPr>
      <w:i/>
      <w:iCs/>
    </w:rPr>
  </w:style>
  <w:style w:type="paragraph" w:styleId="Notedebasdepage">
    <w:name w:val="footnote text"/>
    <w:basedOn w:val="Normal"/>
    <w:link w:val="NotedebasdepageCar"/>
    <w:semiHidden/>
    <w:rsid w:val="00DE7EA3"/>
    <w:pPr>
      <w:spacing w:after="0" w:line="240" w:lineRule="auto"/>
      <w:ind w:firstLine="0"/>
      <w:jc w:val="left"/>
    </w:pPr>
    <w:rPr>
      <w:rFonts w:eastAsia="Times New Roman" w:cs="Times New Roman"/>
      <w:sz w:val="20"/>
      <w:szCs w:val="20"/>
      <w:lang w:eastAsia="fr-FR"/>
    </w:rPr>
  </w:style>
  <w:style w:type="character" w:customStyle="1" w:styleId="NotedebasdepageCar">
    <w:name w:val="Note de bas de page Car"/>
    <w:basedOn w:val="Policepardfaut"/>
    <w:link w:val="Notedebasdepage"/>
    <w:semiHidden/>
    <w:rsid w:val="00DE7EA3"/>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DE7EA3"/>
    <w:rPr>
      <w:vertAlign w:val="superscript"/>
    </w:rPr>
  </w:style>
  <w:style w:type="paragraph" w:customStyle="1" w:styleId="Textecourant">
    <w:name w:val="Texte courant"/>
    <w:basedOn w:val="Normal"/>
    <w:rsid w:val="002578EE"/>
    <w:pPr>
      <w:spacing w:after="60" w:line="240" w:lineRule="auto"/>
      <w:ind w:firstLine="0"/>
    </w:pPr>
    <w:rPr>
      <w:rFonts w:eastAsia="Times New Roman" w:cs="Times New Roman"/>
      <w:sz w:val="24"/>
      <w:szCs w:val="20"/>
      <w:lang w:eastAsia="fr-FR"/>
    </w:rPr>
  </w:style>
  <w:style w:type="character" w:customStyle="1" w:styleId="Titre6Car">
    <w:name w:val="Titre 6 Car"/>
    <w:basedOn w:val="Policepardfaut"/>
    <w:link w:val="Titre6"/>
    <w:uiPriority w:val="9"/>
    <w:semiHidden/>
    <w:rsid w:val="00D60398"/>
    <w:rPr>
      <w:rFonts w:asciiTheme="majorHAnsi" w:eastAsiaTheme="majorEastAsia" w:hAnsiTheme="majorHAnsi" w:cstheme="majorBidi"/>
      <w:i/>
      <w:iCs/>
      <w:color w:val="243F60" w:themeColor="accent1" w:themeShade="7F"/>
    </w:rPr>
  </w:style>
  <w:style w:type="paragraph" w:customStyle="1" w:styleId="Rponsequestion">
    <w:name w:val="Réponse question"/>
    <w:basedOn w:val="Textecourant"/>
    <w:rsid w:val="00D60398"/>
    <w:rPr>
      <w:rFonts w:ascii="Comic Sans MS" w:hAnsi="Comic Sans MS"/>
      <w:sz w:val="22"/>
      <w:szCs w:val="24"/>
    </w:rPr>
  </w:style>
  <w:style w:type="paragraph" w:customStyle="1" w:styleId="Titre4-bis">
    <w:name w:val="Titre 4-bis"/>
    <w:basedOn w:val="Titre4"/>
    <w:rsid w:val="00D60398"/>
    <w:pPr>
      <w:keepLines/>
    </w:pPr>
    <w:rPr>
      <w:rFonts w:ascii="Comic Sans MS" w:hAnsi="Comic Sans MS"/>
      <w:sz w:val="22"/>
      <w:szCs w:val="24"/>
    </w:rPr>
  </w:style>
  <w:style w:type="paragraph" w:styleId="Paragraphedeliste">
    <w:name w:val="List Paragraph"/>
    <w:basedOn w:val="Normal"/>
    <w:uiPriority w:val="34"/>
    <w:qFormat/>
    <w:rsid w:val="00D60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ila%20Khaddam\Desktop\terminale%202011-2012\doc%20mod&#232;le%20cour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Mme SALMOUN</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doc modèle cours.dotx</Template>
  <TotalTime>0</TotalTime>
  <Pages>2</Pages>
  <Words>939</Words>
  <Characters>5170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Lycée Pierre Bayle</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Jamila Khaddam</dc:creator>
  <cp:lastModifiedBy>Jamila Khaddam-ellah</cp:lastModifiedBy>
  <cp:revision>2</cp:revision>
  <cp:lastPrinted>2011-08-27T17:03:00Z</cp:lastPrinted>
  <dcterms:created xsi:type="dcterms:W3CDTF">2020-12-30T18:28:00Z</dcterms:created>
  <dcterms:modified xsi:type="dcterms:W3CDTF">2020-12-30T18:28:00Z</dcterms:modified>
</cp:coreProperties>
</file>