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384"/>
        <w:gridCol w:w="7828"/>
      </w:tblGrid>
      <w:tr w:rsidR="00E76FFC" w:rsidTr="00FD2BD0">
        <w:tc>
          <w:tcPr>
            <w:tcW w:w="1384" w:type="dxa"/>
            <w:vAlign w:val="center"/>
          </w:tcPr>
          <w:p w:rsidR="00E76FFC" w:rsidRPr="006649F5" w:rsidRDefault="00E76FFC" w:rsidP="00FD2BD0">
            <w:pPr>
              <w:jc w:val="center"/>
              <w:rPr>
                <w:bCs/>
                <w:color w:val="FF0000"/>
                <w:kern w:val="24"/>
              </w:rPr>
            </w:pPr>
            <w:r w:rsidRPr="006649F5">
              <w:rPr>
                <w:bCs/>
                <w:color w:val="FF0000"/>
                <w:kern w:val="24"/>
              </w:rPr>
              <w:t>TP</w:t>
            </w:r>
          </w:p>
          <w:p w:rsidR="00E76FFC" w:rsidRPr="006649F5" w:rsidRDefault="00E76FFC" w:rsidP="00FD2BD0">
            <w:pPr>
              <w:jc w:val="center"/>
              <w:rPr>
                <w:bCs/>
                <w:color w:val="FF0000"/>
                <w:kern w:val="24"/>
              </w:rPr>
            </w:pPr>
          </w:p>
        </w:tc>
        <w:tc>
          <w:tcPr>
            <w:tcW w:w="7828" w:type="dxa"/>
            <w:vAlign w:val="center"/>
          </w:tcPr>
          <w:p w:rsidR="00E76FFC" w:rsidRDefault="00E76FFC" w:rsidP="00FD2BD0">
            <w:pPr>
              <w:jc w:val="center"/>
              <w:rPr>
                <w:b/>
                <w:color w:val="FF0000"/>
                <w:kern w:val="24"/>
              </w:rPr>
            </w:pPr>
          </w:p>
          <w:p w:rsidR="00E76FFC" w:rsidRPr="006649F5" w:rsidRDefault="00E76FFC" w:rsidP="00FD2BD0">
            <w:pPr>
              <w:jc w:val="center"/>
              <w:rPr>
                <w:b/>
                <w:caps/>
                <w:color w:val="FF0000"/>
                <w:kern w:val="24"/>
              </w:rPr>
            </w:pPr>
            <w:r w:rsidRPr="006649F5">
              <w:rPr>
                <w:b/>
                <w:color w:val="FF0000"/>
                <w:kern w:val="24"/>
              </w:rPr>
              <w:t>Dosage d’une teinture d’iode officinale</w:t>
            </w:r>
          </w:p>
          <w:p w:rsidR="00E76FFC" w:rsidRPr="006649F5" w:rsidRDefault="00E76FFC" w:rsidP="00FD2BD0">
            <w:pPr>
              <w:jc w:val="center"/>
              <w:rPr>
                <w:bCs/>
                <w:color w:val="FF0000"/>
                <w:kern w:val="24"/>
              </w:rPr>
            </w:pPr>
          </w:p>
        </w:tc>
      </w:tr>
    </w:tbl>
    <w:p w:rsidR="00E76FFC" w:rsidRDefault="00E76FFC" w:rsidP="00E76FFC">
      <w:pPr>
        <w:jc w:val="center"/>
        <w:rPr>
          <w:bCs/>
          <w:kern w:val="24"/>
        </w:rPr>
      </w:pPr>
    </w:p>
    <w:p w:rsidR="00E76FFC" w:rsidRDefault="00E76FFC" w:rsidP="00E76FFC"/>
    <w:p w:rsidR="00E76FFC" w:rsidRDefault="00E76FFC" w:rsidP="00E76FFC"/>
    <w:p w:rsidR="00E76FFC" w:rsidRDefault="00E76FFC" w:rsidP="00E76FFC">
      <w:r>
        <w:t>On a retrouvé au laboratoire de chimie du lycée un flacon étiqueté « </w:t>
      </w:r>
      <w:r w:rsidRPr="00CB3A01">
        <w:rPr>
          <w:b/>
          <w:bCs/>
        </w:rPr>
        <w:t>teinture d’iode diluée 100 fois</w:t>
      </w:r>
      <w:r>
        <w:t> ».</w:t>
      </w:r>
    </w:p>
    <w:p w:rsidR="00E76FFC" w:rsidRDefault="00E76FFC" w:rsidP="00E76FFC">
      <w:r>
        <w:t xml:space="preserve">Comment à partir de cette solution peut-on retrouver la concentration en </w:t>
      </w:r>
      <w:proofErr w:type="spellStart"/>
      <w:r>
        <w:t>diiode</w:t>
      </w:r>
      <w:proofErr w:type="spellEnd"/>
      <w:r>
        <w:t xml:space="preserve"> d’une teinture d’iode commerciale ?</w:t>
      </w:r>
    </w:p>
    <w:p w:rsidR="00E76FFC" w:rsidRDefault="00E76FFC" w:rsidP="00E76FFC"/>
    <w:p w:rsidR="00E76FFC" w:rsidRDefault="00E76FFC" w:rsidP="00E76FFC"/>
    <w:p w:rsidR="00E76FFC" w:rsidRDefault="00E76FFC" w:rsidP="00E76FFC">
      <w:pPr>
        <w:rPr>
          <w:b/>
          <w:bCs/>
          <w:sz w:val="20"/>
          <w:szCs w:val="20"/>
          <w:u w:val="single"/>
        </w:rPr>
      </w:pPr>
      <w:r>
        <w:rPr>
          <w:b/>
          <w:bCs/>
          <w:szCs w:val="24"/>
          <w:u w:val="single"/>
        </w:rPr>
        <w:t>E</w:t>
      </w:r>
      <w:r>
        <w:rPr>
          <w:b/>
          <w:bCs/>
          <w:sz w:val="20"/>
          <w:szCs w:val="20"/>
          <w:u w:val="single"/>
        </w:rPr>
        <w:t>TUDE PRELIMINAIRE</w:t>
      </w:r>
    </w:p>
    <w:p w:rsidR="00E76FFC" w:rsidRDefault="00E76FFC" w:rsidP="00E76FFC">
      <w:pPr>
        <w:rPr>
          <w:b/>
          <w:bCs/>
          <w:szCs w:val="24"/>
        </w:rPr>
      </w:pPr>
    </w:p>
    <w:p w:rsidR="00E76FFC" w:rsidRDefault="00E76FFC" w:rsidP="00E76FFC">
      <w:pPr>
        <w:rPr>
          <w:szCs w:val="24"/>
        </w:rPr>
      </w:pPr>
      <w:r>
        <w:rPr>
          <w:szCs w:val="24"/>
        </w:rPr>
        <w:t xml:space="preserve">La teinture d'iode officinale est obtenue par le mélange suivant : </w:t>
      </w:r>
    </w:p>
    <w:p w:rsidR="00E76FFC" w:rsidRDefault="00E76FFC" w:rsidP="00E76FFC">
      <w:pPr>
        <w:rPr>
          <w:szCs w:val="24"/>
        </w:rPr>
      </w:pPr>
      <w:r>
        <w:rPr>
          <w:szCs w:val="24"/>
        </w:rPr>
        <w:t xml:space="preserve">5,0 g de </w:t>
      </w:r>
      <w:proofErr w:type="spellStart"/>
      <w:r>
        <w:rPr>
          <w:szCs w:val="24"/>
        </w:rPr>
        <w:t>diiode</w:t>
      </w:r>
      <w:proofErr w:type="spellEnd"/>
      <w:r>
        <w:rPr>
          <w:szCs w:val="24"/>
        </w:rPr>
        <w:t xml:space="preserve">, 3,0 g d'iodure de potassium, 85 g d'éthanol et 7 g d'eau distillée </w:t>
      </w:r>
    </w:p>
    <w:p w:rsidR="00E76FFC" w:rsidRDefault="00E76FFC" w:rsidP="00E76FFC">
      <w:pPr>
        <w:rPr>
          <w:szCs w:val="24"/>
        </w:rPr>
      </w:pPr>
      <w:r>
        <w:rPr>
          <w:szCs w:val="24"/>
        </w:rPr>
        <w:t>La masse volumique de cette solution est 888 g.L</w:t>
      </w:r>
      <w:r>
        <w:rPr>
          <w:szCs w:val="24"/>
          <w:vertAlign w:val="superscript"/>
        </w:rPr>
        <w:t>-1</w:t>
      </w:r>
      <w:r>
        <w:rPr>
          <w:szCs w:val="24"/>
        </w:rPr>
        <w:t>.</w:t>
      </w:r>
    </w:p>
    <w:p w:rsidR="00E76FFC" w:rsidRDefault="00E76FFC" w:rsidP="00E76FFC">
      <w:pPr>
        <w:rPr>
          <w:szCs w:val="24"/>
        </w:rPr>
      </w:pPr>
    </w:p>
    <w:p w:rsidR="00E76FFC" w:rsidRDefault="00E76FFC" w:rsidP="00E76FFC">
      <w:pPr>
        <w:pStyle w:val="Paragraphedeliste"/>
        <w:numPr>
          <w:ilvl w:val="0"/>
          <w:numId w:val="2"/>
        </w:numPr>
        <w:rPr>
          <w:i/>
          <w:szCs w:val="24"/>
        </w:rPr>
      </w:pPr>
      <w:r>
        <w:rPr>
          <w:i/>
          <w:szCs w:val="24"/>
        </w:rPr>
        <w:t xml:space="preserve">Calculer la concentration massique puis molaire en </w:t>
      </w:r>
      <w:proofErr w:type="spellStart"/>
      <w:r>
        <w:rPr>
          <w:i/>
          <w:szCs w:val="24"/>
        </w:rPr>
        <w:t>diiode</w:t>
      </w:r>
      <w:proofErr w:type="spellEnd"/>
      <w:r>
        <w:rPr>
          <w:i/>
          <w:szCs w:val="24"/>
        </w:rPr>
        <w:t xml:space="preserve"> de la teinture d’iode officinale si la composition indiquée est exacte à 100%. </w:t>
      </w:r>
    </w:p>
    <w:p w:rsidR="00E76FFC" w:rsidRDefault="00E76FFC" w:rsidP="00E76FFC">
      <w:pPr>
        <w:pStyle w:val="Paragraphedeliste"/>
        <w:ind w:left="0"/>
        <w:rPr>
          <w:i/>
          <w:szCs w:val="24"/>
        </w:rPr>
      </w:pPr>
    </w:p>
    <w:p w:rsidR="00E76FFC" w:rsidRDefault="00E76FFC" w:rsidP="00E76FFC">
      <w:pPr>
        <w:pStyle w:val="Paragraphedeliste"/>
        <w:ind w:left="0"/>
        <w:rPr>
          <w:i/>
          <w:szCs w:val="24"/>
        </w:rPr>
      </w:pPr>
    </w:p>
    <w:p w:rsidR="00E76FFC" w:rsidRDefault="00E76FFC" w:rsidP="00E76FFC">
      <w:pPr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 xml:space="preserve">Détermination de l’ordre de grandeur de la concentration en </w:t>
      </w:r>
      <w:proofErr w:type="spellStart"/>
      <w:r>
        <w:rPr>
          <w:b/>
          <w:smallCaps/>
          <w:szCs w:val="24"/>
          <w:u w:val="single"/>
        </w:rPr>
        <w:t>diiode</w:t>
      </w:r>
      <w:proofErr w:type="spellEnd"/>
    </w:p>
    <w:p w:rsidR="00E76FFC" w:rsidRDefault="00E76FFC" w:rsidP="00E76FFC">
      <w:pPr>
        <w:rPr>
          <w:b/>
          <w:smallCaps/>
          <w:szCs w:val="24"/>
          <w:u w:val="single"/>
        </w:rPr>
      </w:pPr>
    </w:p>
    <w:p w:rsidR="00E76FFC" w:rsidRDefault="00E76FFC" w:rsidP="00E76FFC">
      <w:pPr>
        <w:rPr>
          <w:b/>
          <w:smallCaps/>
          <w:szCs w:val="24"/>
          <w:u w:val="single"/>
        </w:rPr>
      </w:pPr>
    </w:p>
    <w:p w:rsidR="00E76FFC" w:rsidRDefault="00E76FFC" w:rsidP="00E76FFC">
      <w:pPr>
        <w:pStyle w:val="Paragraphedeliste"/>
        <w:numPr>
          <w:ilvl w:val="0"/>
          <w:numId w:val="2"/>
        </w:numPr>
        <w:spacing w:line="276" w:lineRule="auto"/>
        <w:rPr>
          <w:i/>
          <w:szCs w:val="24"/>
        </w:rPr>
      </w:pPr>
      <w:r>
        <w:rPr>
          <w:i/>
          <w:szCs w:val="24"/>
        </w:rPr>
        <w:t xml:space="preserve">Proposer un protocole, </w:t>
      </w:r>
      <w:r>
        <w:rPr>
          <w:i/>
          <w:szCs w:val="24"/>
          <w:u w:val="single"/>
        </w:rPr>
        <w:t>basé sur une méthode visuelle</w:t>
      </w:r>
      <w:r>
        <w:rPr>
          <w:i/>
          <w:szCs w:val="24"/>
        </w:rPr>
        <w:t xml:space="preserve">, qui permet de déterminer l’ordre de grandeur de la concentration molaire en </w:t>
      </w:r>
      <w:proofErr w:type="spellStart"/>
      <w:r>
        <w:rPr>
          <w:i/>
          <w:szCs w:val="24"/>
        </w:rPr>
        <w:t>diiode</w:t>
      </w:r>
      <w:proofErr w:type="spellEnd"/>
      <w:r>
        <w:rPr>
          <w:i/>
          <w:szCs w:val="24"/>
        </w:rPr>
        <w:t xml:space="preserve"> de la teinture d’iode diluée.</w:t>
      </w:r>
    </w:p>
    <w:p w:rsidR="00E76FFC" w:rsidRDefault="00E76FFC" w:rsidP="00E76FFC">
      <w:pPr>
        <w:pStyle w:val="Paragraphedeliste"/>
        <w:numPr>
          <w:ilvl w:val="0"/>
          <w:numId w:val="2"/>
        </w:numPr>
        <w:spacing w:line="276" w:lineRule="auto"/>
        <w:rPr>
          <w:i/>
          <w:szCs w:val="24"/>
        </w:rPr>
      </w:pPr>
      <w:r>
        <w:rPr>
          <w:i/>
          <w:szCs w:val="24"/>
        </w:rPr>
        <w:t xml:space="preserve">Mettre en </w:t>
      </w:r>
      <w:proofErr w:type="spellStart"/>
      <w:r>
        <w:rPr>
          <w:i/>
          <w:szCs w:val="24"/>
        </w:rPr>
        <w:t>oeuvre</w:t>
      </w:r>
      <w:proofErr w:type="spellEnd"/>
      <w:r>
        <w:rPr>
          <w:i/>
          <w:szCs w:val="24"/>
        </w:rPr>
        <w:t xml:space="preserve"> ce protocole et noter vos résultats.</w:t>
      </w:r>
    </w:p>
    <w:p w:rsidR="00E76FFC" w:rsidRDefault="00E76FFC" w:rsidP="00E76FFC">
      <w:pPr>
        <w:pStyle w:val="Paragraphedeliste"/>
        <w:numPr>
          <w:ilvl w:val="0"/>
          <w:numId w:val="2"/>
        </w:numPr>
        <w:spacing w:line="276" w:lineRule="auto"/>
        <w:rPr>
          <w:i/>
          <w:szCs w:val="24"/>
        </w:rPr>
      </w:pPr>
      <w:r>
        <w:rPr>
          <w:i/>
          <w:szCs w:val="24"/>
        </w:rPr>
        <w:t>Cette méthode est-elle précise ?</w:t>
      </w:r>
    </w:p>
    <w:p w:rsidR="00E76FFC" w:rsidRDefault="00E76FFC" w:rsidP="00E76FFC">
      <w:pPr>
        <w:rPr>
          <w:szCs w:val="24"/>
        </w:rPr>
      </w:pPr>
    </w:p>
    <w:p w:rsidR="00E76FFC" w:rsidRDefault="00E76FFC" w:rsidP="00E76FFC">
      <w:pPr>
        <w:rPr>
          <w:szCs w:val="24"/>
        </w:rPr>
      </w:pPr>
    </w:p>
    <w:p w:rsidR="00E76FFC" w:rsidRDefault="00E76FFC" w:rsidP="00E76FFC">
      <w:pPr>
        <w:rPr>
          <w:b/>
          <w:smallCaps/>
          <w:szCs w:val="24"/>
          <w:u w:val="single"/>
        </w:rPr>
      </w:pPr>
      <w:r>
        <w:rPr>
          <w:b/>
          <w:smallCaps/>
          <w:szCs w:val="24"/>
          <w:u w:val="single"/>
        </w:rPr>
        <w:t>Dosage par étalonnage spectrophotométrique</w:t>
      </w:r>
    </w:p>
    <w:p w:rsidR="00E76FFC" w:rsidRDefault="00E76FFC" w:rsidP="00E76FFC">
      <w:pPr>
        <w:rPr>
          <w:kern w:val="24"/>
          <w:szCs w:val="24"/>
        </w:rPr>
      </w:pPr>
    </w:p>
    <w:p w:rsidR="00E76FFC" w:rsidRDefault="00E76FFC" w:rsidP="00E76FFC">
      <w:pPr>
        <w:rPr>
          <w:kern w:val="24"/>
          <w:szCs w:val="24"/>
        </w:rPr>
      </w:pPr>
    </w:p>
    <w:p w:rsidR="00E76FFC" w:rsidRDefault="00E76FFC" w:rsidP="007413EB">
      <w:pPr>
        <w:pStyle w:val="Sansinterligne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  <w:u w:val="single"/>
        </w:rPr>
        <w:t>Principe</w:t>
      </w:r>
      <w:r>
        <w:rPr>
          <w:rFonts w:ascii="Times New Roman" w:hAnsi="Times New Roman" w:cs="Times New Roman"/>
          <w:kern w:val="24"/>
          <w:sz w:val="24"/>
          <w:szCs w:val="24"/>
        </w:rPr>
        <w:t> : Toute solution colorée absorbe plus ou moins les radiations lumineuses du spectre du visible. L’absorption d’une radiation lumineuse par une entité chimique dépend de la longueur d’onde de la radiation.</w:t>
      </w:r>
    </w:p>
    <w:p w:rsidR="00E76FFC" w:rsidRDefault="00E76FFC" w:rsidP="007413EB">
      <w:pPr>
        <w:pStyle w:val="Sansinterligne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La grandeur physique qui caractérise l’absorption est l’absorbance A, mesurée à l’aide d’un spectrophotomètre. C’est une grandeur sans unité. Elle est proportionnelle à la concentration C de la solution.</w:t>
      </w:r>
    </w:p>
    <w:p w:rsidR="00E76FFC" w:rsidRDefault="00E76FFC" w:rsidP="007413EB">
      <w:pPr>
        <w:jc w:val="both"/>
        <w:rPr>
          <w:kern w:val="24"/>
          <w:szCs w:val="24"/>
        </w:rPr>
      </w:pPr>
    </w:p>
    <w:p w:rsidR="00E76FFC" w:rsidRDefault="00E76FFC" w:rsidP="007413EB">
      <w:pPr>
        <w:jc w:val="both"/>
        <w:rPr>
          <w:kern w:val="24"/>
          <w:szCs w:val="24"/>
        </w:rPr>
      </w:pPr>
    </w:p>
    <w:p w:rsidR="00E76FFC" w:rsidRDefault="00E76FFC" w:rsidP="007413EB">
      <w:pPr>
        <w:pStyle w:val="Listepuces"/>
        <w:numPr>
          <w:ilvl w:val="0"/>
          <w:numId w:val="0"/>
        </w:numPr>
        <w:tabs>
          <w:tab w:val="left" w:pos="708"/>
        </w:tabs>
        <w:jc w:val="both"/>
        <w:rPr>
          <w:kern w:val="24"/>
        </w:rPr>
      </w:pPr>
      <w:r>
        <w:rPr>
          <w:kern w:val="24"/>
        </w:rPr>
        <w:t xml:space="preserve">Une solution de </w:t>
      </w:r>
      <w:proofErr w:type="spellStart"/>
      <w:r>
        <w:rPr>
          <w:kern w:val="24"/>
        </w:rPr>
        <w:t>diiode</w:t>
      </w:r>
      <w:proofErr w:type="spellEnd"/>
      <w:r>
        <w:rPr>
          <w:kern w:val="24"/>
        </w:rPr>
        <w:t xml:space="preserve"> est colorée et va donc absorber des radiations lumineuses. Le spectre d’absorption A(</w:t>
      </w:r>
      <w:r>
        <w:rPr>
          <w:kern w:val="24"/>
        </w:rPr>
        <w:sym w:font="Symbol" w:char="006C"/>
      </w:r>
      <w:r>
        <w:rPr>
          <w:kern w:val="24"/>
        </w:rPr>
        <w:t xml:space="preserve">) d’une solution de </w:t>
      </w:r>
      <w:proofErr w:type="spellStart"/>
      <w:r>
        <w:rPr>
          <w:kern w:val="24"/>
        </w:rPr>
        <w:t>diiode</w:t>
      </w:r>
      <w:proofErr w:type="spellEnd"/>
      <w:r>
        <w:rPr>
          <w:kern w:val="24"/>
        </w:rPr>
        <w:t xml:space="preserve"> de concentration molaire c = 2,5.10</w:t>
      </w:r>
      <w:r>
        <w:rPr>
          <w:kern w:val="24"/>
          <w:vertAlign w:val="superscript"/>
        </w:rPr>
        <w:t>-4</w:t>
      </w:r>
      <w:r>
        <w:rPr>
          <w:kern w:val="24"/>
        </w:rPr>
        <w:t xml:space="preserve"> mol.L</w:t>
      </w:r>
      <w:r>
        <w:rPr>
          <w:kern w:val="24"/>
          <w:vertAlign w:val="superscript"/>
        </w:rPr>
        <w:t>-1</w:t>
      </w:r>
      <w:r>
        <w:rPr>
          <w:kern w:val="24"/>
        </w:rPr>
        <w:t xml:space="preserve">, est donné ci-dessous. A cette concentration, la solution de </w:t>
      </w:r>
      <w:proofErr w:type="spellStart"/>
      <w:r>
        <w:rPr>
          <w:kern w:val="24"/>
        </w:rPr>
        <w:t>diiode</w:t>
      </w:r>
      <w:proofErr w:type="spellEnd"/>
      <w:r>
        <w:rPr>
          <w:kern w:val="24"/>
        </w:rPr>
        <w:t xml:space="preserve"> est jaune.</w:t>
      </w:r>
    </w:p>
    <w:p w:rsidR="00E76FFC" w:rsidRDefault="00E76FFC" w:rsidP="007413EB">
      <w:pPr>
        <w:pStyle w:val="Listepuces"/>
        <w:numPr>
          <w:ilvl w:val="0"/>
          <w:numId w:val="0"/>
        </w:numPr>
        <w:tabs>
          <w:tab w:val="left" w:pos="708"/>
        </w:tabs>
        <w:jc w:val="both"/>
        <w:rPr>
          <w:kern w:val="24"/>
        </w:rPr>
      </w:pP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jc w:val="center"/>
        <w:rPr>
          <w:kern w:val="24"/>
        </w:rPr>
      </w:pPr>
      <w:r>
        <w:rPr>
          <w:noProof/>
          <w:kern w:val="24"/>
        </w:rPr>
        <w:lastRenderedPageBreak/>
        <w:drawing>
          <wp:inline distT="0" distB="0" distL="0" distR="0">
            <wp:extent cx="4876800" cy="27432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ind w:left="360" w:hanging="360"/>
        <w:rPr>
          <w:kern w:val="24"/>
        </w:rPr>
      </w:pP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b/>
          <w:bCs/>
          <w:iCs/>
          <w:kern w:val="24"/>
        </w:rPr>
      </w:pP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/>
          <w:kern w:val="24"/>
        </w:rPr>
      </w:pPr>
      <w:r>
        <w:rPr>
          <w:b/>
          <w:bCs/>
          <w:iCs/>
          <w:kern w:val="24"/>
        </w:rPr>
        <w:t xml:space="preserve">5. </w:t>
      </w:r>
      <w:r>
        <w:rPr>
          <w:i/>
          <w:kern w:val="24"/>
        </w:rPr>
        <w:t>Justifier la couleur de la solution à partir du spectre donné ci-dessus.</w:t>
      </w: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/>
          <w:kern w:val="24"/>
        </w:rPr>
      </w:pPr>
      <w:r>
        <w:rPr>
          <w:b/>
          <w:bCs/>
          <w:iCs/>
          <w:kern w:val="24"/>
        </w:rPr>
        <w:t xml:space="preserve">6. </w:t>
      </w:r>
      <w:r>
        <w:rPr>
          <w:i/>
          <w:kern w:val="24"/>
        </w:rPr>
        <w:t>A quelle longueur d’onde doit-on travailler pour avoir un maximum de précision sur la mesure de l'absorbance.</w:t>
      </w: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i/>
          <w:kern w:val="24"/>
        </w:rPr>
      </w:pPr>
      <w:r>
        <w:rPr>
          <w:b/>
          <w:bCs/>
          <w:iCs/>
          <w:kern w:val="24"/>
        </w:rPr>
        <w:t xml:space="preserve">7. </w:t>
      </w:r>
      <w:r>
        <w:rPr>
          <w:i/>
          <w:kern w:val="24"/>
        </w:rPr>
        <w:t>Le spectrophotomètre utilisé n’a que 4 sources lumineuses, de longueur d’onde 470 nm, 565 nm, 585 nm et 655 nm. Laquelle allez-vous choisir pour mesurer des absorbances ? Quelle incidence ce choix aura-t-il sur les résultats ?</w:t>
      </w: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spacing w:line="276" w:lineRule="auto"/>
        <w:rPr>
          <w:bCs/>
          <w:i/>
          <w:kern w:val="24"/>
        </w:rPr>
      </w:pP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rPr>
          <w:b/>
          <w:kern w:val="24"/>
          <w:u w:val="single"/>
        </w:rPr>
      </w:pPr>
      <w:r>
        <w:rPr>
          <w:b/>
          <w:kern w:val="24"/>
          <w:u w:val="single"/>
        </w:rPr>
        <w:t>Manipulation</w:t>
      </w:r>
    </w:p>
    <w:p w:rsidR="00E76FFC" w:rsidRDefault="00E76FFC" w:rsidP="00E76FFC">
      <w:pPr>
        <w:pStyle w:val="Listepuces"/>
        <w:numPr>
          <w:ilvl w:val="0"/>
          <w:numId w:val="0"/>
        </w:numPr>
        <w:tabs>
          <w:tab w:val="left" w:pos="708"/>
        </w:tabs>
        <w:rPr>
          <w:b/>
          <w:smallCaps/>
          <w:kern w:val="24"/>
          <w:u w:val="single"/>
        </w:rPr>
      </w:pPr>
    </w:p>
    <w:p w:rsidR="00E76FFC" w:rsidRDefault="00E76FFC" w:rsidP="00E76FFC">
      <w:pPr>
        <w:widowControl/>
        <w:numPr>
          <w:ilvl w:val="0"/>
          <w:numId w:val="3"/>
        </w:numPr>
        <w:suppressAutoHyphens w:val="0"/>
        <w:rPr>
          <w:szCs w:val="24"/>
        </w:rPr>
      </w:pPr>
      <w:r>
        <w:rPr>
          <w:szCs w:val="24"/>
        </w:rPr>
        <w:t>Régler le spectrophotomètre à la longueur d'onde choisie.</w:t>
      </w:r>
    </w:p>
    <w:p w:rsidR="00E76FFC" w:rsidRDefault="00E76FFC" w:rsidP="00E76FFC">
      <w:pPr>
        <w:widowControl/>
        <w:numPr>
          <w:ilvl w:val="0"/>
          <w:numId w:val="4"/>
        </w:numPr>
        <w:suppressAutoHyphens w:val="0"/>
        <w:rPr>
          <w:szCs w:val="24"/>
        </w:rPr>
      </w:pPr>
      <w:r>
        <w:rPr>
          <w:szCs w:val="24"/>
        </w:rPr>
        <w:t>Faire le blanc avec de l’eau en appuyant sur le bouton zéro. (Ne plus toucher ce bouton par la suite)</w:t>
      </w:r>
    </w:p>
    <w:p w:rsidR="00E76FFC" w:rsidRDefault="00E76FFC" w:rsidP="00E76FFC">
      <w:pPr>
        <w:widowControl/>
        <w:numPr>
          <w:ilvl w:val="0"/>
          <w:numId w:val="4"/>
        </w:numPr>
        <w:suppressAutoHyphens w:val="0"/>
        <w:rPr>
          <w:szCs w:val="24"/>
        </w:rPr>
      </w:pPr>
      <w:r>
        <w:rPr>
          <w:szCs w:val="24"/>
        </w:rPr>
        <w:t>Mesurer l'absorbance A de chaque solution.</w:t>
      </w:r>
    </w:p>
    <w:p w:rsidR="00E76FFC" w:rsidRDefault="007413EB" w:rsidP="00E76FFC">
      <w:pPr>
        <w:widowControl/>
        <w:numPr>
          <w:ilvl w:val="0"/>
          <w:numId w:val="4"/>
        </w:numPr>
        <w:suppressAutoHyphens w:val="0"/>
        <w:rPr>
          <w:szCs w:val="24"/>
        </w:rPr>
      </w:pPr>
      <w:r>
        <w:rPr>
          <w:szCs w:val="24"/>
        </w:rPr>
        <w:t xml:space="preserve">Mesurer l'absorbance </w:t>
      </w:r>
      <w:r w:rsidR="00E76FFC">
        <w:rPr>
          <w:szCs w:val="24"/>
        </w:rPr>
        <w:t>de la solution diluée de teinture d'iode.</w:t>
      </w:r>
    </w:p>
    <w:p w:rsidR="00E76FFC" w:rsidRDefault="00E76FFC" w:rsidP="00E76FFC">
      <w:pPr>
        <w:rPr>
          <w:szCs w:val="24"/>
        </w:rPr>
      </w:pPr>
      <w:r>
        <w:rPr>
          <w:szCs w:val="24"/>
        </w:rPr>
        <w:t xml:space="preserve">Consigner vos résultats dans le tableau suivant : </w:t>
      </w:r>
    </w:p>
    <w:p w:rsidR="00E76FFC" w:rsidRDefault="00E76FFC" w:rsidP="00E76FFC">
      <w:pPr>
        <w:rPr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918"/>
        <w:gridCol w:w="1151"/>
        <w:gridCol w:w="1151"/>
        <w:gridCol w:w="1151"/>
        <w:gridCol w:w="1151"/>
        <w:gridCol w:w="1152"/>
        <w:gridCol w:w="1152"/>
      </w:tblGrid>
      <w:tr w:rsidR="00E76FFC" w:rsidTr="00FD2BD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  <w:vertAlign w:val="superscript"/>
              </w:rPr>
            </w:pPr>
            <w:r>
              <w:rPr>
                <w:rFonts w:eastAsia="Times New Roman"/>
                <w:szCs w:val="24"/>
              </w:rPr>
              <w:t>c (mmol.L</w:t>
            </w:r>
            <w:r>
              <w:rPr>
                <w:rFonts w:eastAsia="Times New Roman"/>
                <w:szCs w:val="24"/>
                <w:vertAlign w:val="superscript"/>
              </w:rPr>
              <w:t>-1)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0,6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1,4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1,7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2,0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?</w:t>
            </w:r>
          </w:p>
        </w:tc>
      </w:tr>
      <w:tr w:rsidR="00E76FFC" w:rsidTr="00FD2BD0"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FFC" w:rsidRDefault="00E76FFC" w:rsidP="00FD2BD0">
            <w:pPr>
              <w:jc w:val="center"/>
              <w:rPr>
                <w:rFonts w:eastAsia="Times New Roman"/>
                <w:szCs w:val="24"/>
              </w:rPr>
            </w:pPr>
          </w:p>
        </w:tc>
      </w:tr>
    </w:tbl>
    <w:p w:rsidR="00E76FFC" w:rsidRDefault="00E76FFC" w:rsidP="00E76FFC">
      <w:pPr>
        <w:rPr>
          <w:szCs w:val="24"/>
        </w:rPr>
      </w:pPr>
    </w:p>
    <w:p w:rsidR="00E76FFC" w:rsidRDefault="00E76FFC" w:rsidP="00E76FFC">
      <w:pPr>
        <w:pStyle w:val="Titre1"/>
      </w:pPr>
      <w:r>
        <w:t>Exploitation</w:t>
      </w:r>
    </w:p>
    <w:p w:rsidR="00E76FFC" w:rsidRDefault="00E76FFC" w:rsidP="00E76FFC">
      <w:pPr>
        <w:rPr>
          <w:b/>
          <w:smallCaps/>
          <w:szCs w:val="24"/>
          <w:u w:val="single"/>
        </w:rPr>
      </w:pPr>
    </w:p>
    <w:p w:rsidR="00E76FFC" w:rsidRPr="00CB3A01" w:rsidRDefault="00E76FFC" w:rsidP="00E76FFC">
      <w:pPr>
        <w:widowControl/>
        <w:suppressAutoHyphens w:val="0"/>
        <w:spacing w:line="276" w:lineRule="auto"/>
        <w:rPr>
          <w:i/>
          <w:iCs/>
          <w:szCs w:val="24"/>
        </w:rPr>
      </w:pPr>
      <w:r w:rsidRPr="00CB3A01">
        <w:rPr>
          <w:b/>
          <w:bCs/>
          <w:szCs w:val="24"/>
        </w:rPr>
        <w:t>8</w:t>
      </w:r>
      <w:r>
        <w:rPr>
          <w:i/>
          <w:iCs/>
          <w:szCs w:val="24"/>
        </w:rPr>
        <w:t xml:space="preserve">. </w:t>
      </w:r>
      <w:r w:rsidRPr="00CB3A01">
        <w:rPr>
          <w:i/>
          <w:iCs/>
          <w:szCs w:val="24"/>
        </w:rPr>
        <w:t>Tracer la courbe A = f(c) appelée courbe d’étalonnage.</w:t>
      </w:r>
    </w:p>
    <w:p w:rsidR="00E76FFC" w:rsidRPr="00CB3A01" w:rsidRDefault="00E76FFC" w:rsidP="00E76FFC">
      <w:pPr>
        <w:widowControl/>
        <w:suppressAutoHyphens w:val="0"/>
        <w:spacing w:line="276" w:lineRule="auto"/>
        <w:rPr>
          <w:i/>
          <w:iCs/>
          <w:szCs w:val="24"/>
        </w:rPr>
      </w:pPr>
      <w:r w:rsidRPr="00CB3A01">
        <w:rPr>
          <w:b/>
          <w:bCs/>
          <w:szCs w:val="24"/>
        </w:rPr>
        <w:t>9</w:t>
      </w:r>
      <w:r>
        <w:rPr>
          <w:i/>
          <w:iCs/>
          <w:szCs w:val="24"/>
        </w:rPr>
        <w:t xml:space="preserve">. </w:t>
      </w:r>
      <w:r w:rsidRPr="00CB3A01">
        <w:rPr>
          <w:i/>
          <w:iCs/>
          <w:szCs w:val="24"/>
        </w:rPr>
        <w:t xml:space="preserve">Montrer que cette courbe est en accord avec la </w:t>
      </w:r>
      <w:r w:rsidRPr="00CB3A01">
        <w:rPr>
          <w:b/>
          <w:i/>
          <w:iCs/>
          <w:szCs w:val="24"/>
        </w:rPr>
        <w:t xml:space="preserve">loi de </w:t>
      </w:r>
      <w:proofErr w:type="spellStart"/>
      <w:r w:rsidRPr="00CB3A01">
        <w:rPr>
          <w:b/>
          <w:i/>
          <w:iCs/>
          <w:szCs w:val="24"/>
        </w:rPr>
        <w:t>Beer</w:t>
      </w:r>
      <w:proofErr w:type="spellEnd"/>
      <w:r w:rsidRPr="00CB3A01">
        <w:rPr>
          <w:b/>
          <w:i/>
          <w:iCs/>
          <w:szCs w:val="24"/>
        </w:rPr>
        <w:t>-Lambert</w:t>
      </w:r>
      <w:r w:rsidRPr="00CB3A01">
        <w:rPr>
          <w:i/>
          <w:iCs/>
          <w:szCs w:val="24"/>
        </w:rPr>
        <w:t xml:space="preserve">, </w:t>
      </w:r>
      <w:r w:rsidRPr="00CB3A01">
        <w:rPr>
          <w:b/>
          <w:i/>
          <w:iCs/>
          <w:szCs w:val="24"/>
          <w:bdr w:val="single" w:sz="4" w:space="0" w:color="auto" w:frame="1"/>
        </w:rPr>
        <w:t xml:space="preserve">A = </w:t>
      </w:r>
      <w:r>
        <w:rPr>
          <w:b/>
          <w:bdr w:val="single" w:sz="4" w:space="0" w:color="auto" w:frame="1"/>
        </w:rPr>
        <w:t>k</w:t>
      </w:r>
      <w:r>
        <w:rPr>
          <w:b/>
          <w:bdr w:val="single" w:sz="4" w:space="0" w:color="auto" w:frame="1"/>
        </w:rPr>
        <w:sym w:font="Symbol" w:char="F0B4"/>
      </w:r>
      <w:r>
        <w:rPr>
          <w:b/>
          <w:bdr w:val="single" w:sz="4" w:space="0" w:color="auto" w:frame="1"/>
        </w:rPr>
        <w:t xml:space="preserve"> </w:t>
      </w:r>
      <w:r w:rsidRPr="00CB3A01">
        <w:rPr>
          <w:b/>
          <w:i/>
          <w:iCs/>
          <w:szCs w:val="24"/>
          <w:bdr w:val="single" w:sz="4" w:space="0" w:color="auto" w:frame="1"/>
        </w:rPr>
        <w:t>c</w:t>
      </w:r>
    </w:p>
    <w:p w:rsidR="00E76FFC" w:rsidRPr="00CB3A01" w:rsidRDefault="00E76FFC" w:rsidP="00E76FFC">
      <w:pPr>
        <w:widowControl/>
        <w:suppressAutoHyphens w:val="0"/>
        <w:spacing w:line="276" w:lineRule="auto"/>
        <w:rPr>
          <w:i/>
          <w:iCs/>
          <w:szCs w:val="24"/>
        </w:rPr>
      </w:pPr>
      <w:r w:rsidRPr="00CB3A01">
        <w:rPr>
          <w:b/>
          <w:bCs/>
          <w:szCs w:val="24"/>
        </w:rPr>
        <w:t>10.</w:t>
      </w:r>
      <w:r w:rsidR="007413EB">
        <w:rPr>
          <w:b/>
          <w:bCs/>
          <w:szCs w:val="24"/>
        </w:rPr>
        <w:t xml:space="preserve"> </w:t>
      </w:r>
      <w:bookmarkStart w:id="0" w:name="_GoBack"/>
      <w:bookmarkEnd w:id="0"/>
      <w:r w:rsidRPr="00CB3A01">
        <w:rPr>
          <w:i/>
          <w:iCs/>
          <w:szCs w:val="24"/>
        </w:rPr>
        <w:t xml:space="preserve">Déterminer graphiquement la concentration en </w:t>
      </w:r>
      <w:proofErr w:type="spellStart"/>
      <w:r w:rsidRPr="00CB3A01">
        <w:rPr>
          <w:i/>
          <w:iCs/>
          <w:szCs w:val="24"/>
        </w:rPr>
        <w:t>diiode</w:t>
      </w:r>
      <w:proofErr w:type="spellEnd"/>
      <w:r w:rsidRPr="00CB3A01">
        <w:rPr>
          <w:i/>
          <w:iCs/>
          <w:szCs w:val="24"/>
        </w:rPr>
        <w:t xml:space="preserve"> de la solution diluée 100 fois.</w:t>
      </w:r>
    </w:p>
    <w:p w:rsidR="00E76FFC" w:rsidRPr="00CB3A01" w:rsidRDefault="00E76FFC" w:rsidP="00E76FFC">
      <w:pPr>
        <w:widowControl/>
        <w:suppressAutoHyphens w:val="0"/>
        <w:spacing w:line="276" w:lineRule="auto"/>
        <w:rPr>
          <w:i/>
          <w:iCs/>
          <w:szCs w:val="24"/>
        </w:rPr>
      </w:pPr>
      <w:r w:rsidRPr="00CB3A01">
        <w:rPr>
          <w:b/>
          <w:bCs/>
          <w:szCs w:val="24"/>
        </w:rPr>
        <w:t>11</w:t>
      </w:r>
      <w:r>
        <w:rPr>
          <w:i/>
          <w:iCs/>
          <w:szCs w:val="24"/>
        </w:rPr>
        <w:t xml:space="preserve">. </w:t>
      </w:r>
      <w:r w:rsidRPr="00CB3A01">
        <w:rPr>
          <w:i/>
          <w:iCs/>
          <w:szCs w:val="24"/>
        </w:rPr>
        <w:t xml:space="preserve">En déduire la concentration en </w:t>
      </w:r>
      <w:proofErr w:type="spellStart"/>
      <w:r w:rsidRPr="00CB3A01">
        <w:rPr>
          <w:i/>
          <w:iCs/>
          <w:szCs w:val="24"/>
        </w:rPr>
        <w:t>diiode</w:t>
      </w:r>
      <w:proofErr w:type="spellEnd"/>
      <w:r w:rsidRPr="00CB3A01">
        <w:rPr>
          <w:i/>
          <w:iCs/>
          <w:szCs w:val="24"/>
        </w:rPr>
        <w:t xml:space="preserve"> de la teinture d'iode officinale.</w:t>
      </w:r>
    </w:p>
    <w:p w:rsidR="00E76FFC" w:rsidRPr="00CB3A01" w:rsidRDefault="00E76FFC" w:rsidP="00E76FFC">
      <w:pPr>
        <w:widowControl/>
        <w:suppressAutoHyphens w:val="0"/>
        <w:spacing w:line="276" w:lineRule="auto"/>
        <w:rPr>
          <w:i/>
          <w:iCs/>
          <w:szCs w:val="24"/>
        </w:rPr>
      </w:pPr>
      <w:r w:rsidRPr="00CB3A01">
        <w:rPr>
          <w:b/>
          <w:bCs/>
          <w:szCs w:val="24"/>
        </w:rPr>
        <w:t>12.</w:t>
      </w:r>
      <w:r>
        <w:rPr>
          <w:i/>
          <w:iCs/>
          <w:szCs w:val="24"/>
        </w:rPr>
        <w:t xml:space="preserve"> </w:t>
      </w:r>
      <w:r w:rsidRPr="00CB3A01">
        <w:rPr>
          <w:i/>
          <w:iCs/>
          <w:szCs w:val="24"/>
        </w:rPr>
        <w:t>Ce résultat est-il en accord avec votre résultat obtenu avec l’échelle de teinte ?</w:t>
      </w:r>
    </w:p>
    <w:p w:rsidR="00E76FFC" w:rsidRDefault="00E76FFC" w:rsidP="00E76FFC">
      <w:pPr>
        <w:widowControl/>
        <w:suppressAutoHyphens w:val="0"/>
        <w:spacing w:line="276" w:lineRule="auto"/>
        <w:rPr>
          <w:b/>
          <w:iCs/>
          <w:szCs w:val="24"/>
        </w:rPr>
      </w:pPr>
      <w:r w:rsidRPr="00CB3A01">
        <w:rPr>
          <w:b/>
          <w:bCs/>
          <w:szCs w:val="24"/>
        </w:rPr>
        <w:t>13.</w:t>
      </w:r>
      <w:r w:rsidRPr="00CB3A01">
        <w:rPr>
          <w:i/>
          <w:iCs/>
          <w:szCs w:val="24"/>
        </w:rPr>
        <w:t xml:space="preserve">Comparer, avec un calcul d’écart relatif, votre valeur avec la valeur théorique déterminée précédemment en </w:t>
      </w:r>
      <w:r w:rsidRPr="00CB3A01">
        <w:rPr>
          <w:b/>
          <w:iCs/>
          <w:szCs w:val="24"/>
        </w:rPr>
        <w:t>1</w:t>
      </w:r>
      <w:r>
        <w:rPr>
          <w:b/>
          <w:iCs/>
          <w:szCs w:val="24"/>
        </w:rPr>
        <w:t xml:space="preserve">.   </w:t>
      </w:r>
    </w:p>
    <w:p w:rsidR="0021492A" w:rsidRDefault="0021492A"/>
    <w:sectPr w:rsidR="0021492A" w:rsidSect="00214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BE8ADC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62289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AD3EBC"/>
    <w:multiLevelType w:val="hybridMultilevel"/>
    <w:tmpl w:val="E41C98FC"/>
    <w:lvl w:ilvl="0" w:tplc="AC3E368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79736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76FFC"/>
    <w:rsid w:val="0021492A"/>
    <w:rsid w:val="00376982"/>
    <w:rsid w:val="007413EB"/>
    <w:rsid w:val="00E7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8F23"/>
  <w15:docId w15:val="{8C54033F-40DB-46A8-8D31-C626F42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18"/>
      <w:lang w:eastAsia="fr-FR" w:bidi="ar-SA"/>
    </w:rPr>
  </w:style>
  <w:style w:type="paragraph" w:styleId="Titre1">
    <w:name w:val="heading 1"/>
    <w:basedOn w:val="Normal"/>
    <w:next w:val="Normal"/>
    <w:link w:val="Titre1Car"/>
    <w:qFormat/>
    <w:rsid w:val="00E76FFC"/>
    <w:pPr>
      <w:keepNext/>
      <w:outlineLvl w:val="0"/>
    </w:pPr>
    <w:rPr>
      <w:b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76FFC"/>
    <w:rPr>
      <w:rFonts w:ascii="Times New Roman" w:eastAsia="Lucida Sans Unicode" w:hAnsi="Times New Roman" w:cs="Times New Roman"/>
      <w:b/>
      <w:color w:val="000000"/>
      <w:kern w:val="2"/>
      <w:sz w:val="24"/>
      <w:szCs w:val="24"/>
      <w:u w:val="single"/>
      <w:lang w:eastAsia="fr-FR" w:bidi="ar-SA"/>
    </w:rPr>
  </w:style>
  <w:style w:type="paragraph" w:styleId="Sansinterligne">
    <w:name w:val="No Spacing"/>
    <w:qFormat/>
    <w:rsid w:val="00E76FFC"/>
    <w:pPr>
      <w:spacing w:after="0" w:line="240" w:lineRule="auto"/>
    </w:pPr>
    <w:rPr>
      <w:rFonts w:ascii="Calibri" w:eastAsia="PMingLiU" w:hAnsi="Calibri" w:cs="Arial"/>
    </w:rPr>
  </w:style>
  <w:style w:type="paragraph" w:styleId="Listepuces">
    <w:name w:val="List Bullet"/>
    <w:basedOn w:val="Normal"/>
    <w:unhideWhenUsed/>
    <w:rsid w:val="00E76FFC"/>
    <w:pPr>
      <w:numPr>
        <w:numId w:val="1"/>
      </w:numPr>
      <w:contextualSpacing/>
    </w:pPr>
  </w:style>
  <w:style w:type="paragraph" w:styleId="Paragraphedeliste">
    <w:name w:val="List Paragraph"/>
    <w:basedOn w:val="Normal"/>
    <w:qFormat/>
    <w:rsid w:val="00E76F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E76FFC"/>
    <w:pPr>
      <w:spacing w:after="0" w:line="240" w:lineRule="auto"/>
    </w:pPr>
    <w:rPr>
      <w:rFonts w:ascii="Calibri" w:eastAsia="PMingLiU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F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FFC"/>
    <w:rPr>
      <w:rFonts w:ascii="Tahoma" w:eastAsia="Lucida Sans Unicode" w:hAnsi="Tahoma" w:cs="Tahoma"/>
      <w:color w:val="000000"/>
      <w:kern w:val="2"/>
      <w:sz w:val="16"/>
      <w:szCs w:val="16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Lorine</dc:creator>
  <cp:lastModifiedBy>Josiane Levy</cp:lastModifiedBy>
  <cp:revision>2</cp:revision>
  <dcterms:created xsi:type="dcterms:W3CDTF">2016-06-14T12:43:00Z</dcterms:created>
  <dcterms:modified xsi:type="dcterms:W3CDTF">2016-06-16T19:15:00Z</dcterms:modified>
</cp:coreProperties>
</file>