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54" w:rsidRPr="0068699D" w:rsidRDefault="002E3BB5" w:rsidP="0068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Incertitude de répétabilité</w:t>
      </w:r>
    </w:p>
    <w:p w:rsidR="00950254" w:rsidRPr="0068699D" w:rsidRDefault="00950254" w:rsidP="002E3BB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99D">
        <w:rPr>
          <w:rFonts w:ascii="Times New Roman" w:eastAsiaTheme="minorEastAsia" w:hAnsi="Times New Roman" w:cs="Times New Roman"/>
          <w:sz w:val="24"/>
          <w:szCs w:val="24"/>
        </w:rPr>
        <w:t xml:space="preserve">Quand plusieurs </w:t>
      </w:r>
      <w:r w:rsidR="0068699D" w:rsidRPr="0068699D">
        <w:rPr>
          <w:rFonts w:ascii="Times New Roman" w:eastAsiaTheme="minorEastAsia" w:hAnsi="Times New Roman" w:cs="Times New Roman"/>
          <w:sz w:val="24"/>
          <w:szCs w:val="24"/>
        </w:rPr>
        <w:t>élèves ou groupe d’élèves effectuent une mesure, ils obtiennent des résultats voisins mais différents. Sur la série de mesures, on peut déterminer la valeur moyenne et l’</w:t>
      </w:r>
      <w:r w:rsidR="0068699D">
        <w:rPr>
          <w:rFonts w:ascii="Times New Roman" w:eastAsiaTheme="minorEastAsia" w:hAnsi="Times New Roman" w:cs="Times New Roman"/>
          <w:sz w:val="24"/>
          <w:szCs w:val="24"/>
        </w:rPr>
        <w:t>incertitude sur la valeur moyenne.</w:t>
      </w:r>
    </w:p>
    <w:p w:rsidR="0068699D" w:rsidRDefault="0068699D" w:rsidP="0068699D">
      <w:pPr>
        <w:jc w:val="right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950254" w:rsidRPr="0068699D" w:rsidRDefault="00950254" w:rsidP="00950254">
      <w:pPr>
        <w:rPr>
          <w:rFonts w:ascii="Times New Roman" w:eastAsiaTheme="minorEastAsia" w:hAnsi="Times New Roman" w:cs="Times New Roman"/>
          <w:b/>
        </w:rPr>
      </w:pPr>
      <w:r w:rsidRPr="0068699D">
        <w:rPr>
          <w:rFonts w:ascii="Times New Roman" w:eastAsiaTheme="minorEastAsia" w:hAnsi="Times New Roman" w:cs="Times New Roman"/>
          <w:b/>
          <w:u w:val="single"/>
        </w:rPr>
        <w:t xml:space="preserve">Méthode : </w:t>
      </w:r>
      <w:r w:rsidRPr="0068699D">
        <w:rPr>
          <w:rFonts w:ascii="Times New Roman" w:eastAsiaTheme="minorEastAsia" w:hAnsi="Times New Roman" w:cs="Times New Roman"/>
          <w:b/>
        </w:rPr>
        <w:t xml:space="preserve"> </w:t>
      </w:r>
    </w:p>
    <w:p w:rsidR="00950254" w:rsidRPr="00926CE4" w:rsidRDefault="00950254" w:rsidP="00950254">
      <w:pPr>
        <w:rPr>
          <w:rFonts w:ascii="Times New Roman" w:eastAsiaTheme="minorEastAsia" w:hAnsi="Times New Roman" w:cs="Times New Roman"/>
          <w:i/>
        </w:rPr>
      </w:pPr>
      <w:r w:rsidRPr="00926CE4">
        <w:rPr>
          <w:rFonts w:ascii="Times New Roman" w:eastAsiaTheme="minorEastAsia" w:hAnsi="Times New Roman" w:cs="Times New Roman"/>
          <w:i/>
        </w:rPr>
        <w:t xml:space="preserve"> </w:t>
      </w:r>
      <w:r w:rsidR="00926CE4" w:rsidRPr="00926CE4">
        <w:rPr>
          <w:rFonts w:ascii="Times New Roman" w:eastAsiaTheme="minorEastAsia" w:hAnsi="Times New Roman" w:cs="Times New Roman"/>
          <w:i/>
        </w:rPr>
        <w:t>L</w:t>
      </w:r>
      <w:r w:rsidR="0068699D" w:rsidRPr="00926CE4">
        <w:rPr>
          <w:rFonts w:ascii="Times New Roman" w:eastAsiaTheme="minorEastAsia" w:hAnsi="Times New Roman" w:cs="Times New Roman"/>
          <w:i/>
        </w:rPr>
        <w:t xml:space="preserve">ors d’une séance </w:t>
      </w:r>
      <w:r w:rsidR="002E3BB5">
        <w:rPr>
          <w:rFonts w:ascii="Times New Roman" w:eastAsiaTheme="minorEastAsia" w:hAnsi="Times New Roman" w:cs="Times New Roman"/>
          <w:i/>
        </w:rPr>
        <w:t>expérimentale</w:t>
      </w:r>
      <w:bookmarkStart w:id="0" w:name="_GoBack"/>
      <w:bookmarkEnd w:id="0"/>
      <w:r w:rsidR="0068699D" w:rsidRPr="00926CE4">
        <w:rPr>
          <w:rFonts w:ascii="Times New Roman" w:eastAsiaTheme="minorEastAsia" w:hAnsi="Times New Roman" w:cs="Times New Roman"/>
          <w:i/>
        </w:rPr>
        <w:t>, o</w:t>
      </w:r>
      <w:r w:rsidRPr="00926CE4">
        <w:rPr>
          <w:rFonts w:ascii="Times New Roman" w:eastAsiaTheme="minorEastAsia" w:hAnsi="Times New Roman" w:cs="Times New Roman"/>
          <w:i/>
        </w:rPr>
        <w:t xml:space="preserve">n a obtenu n mesures de x 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926CE4">
        <w:rPr>
          <w:rFonts w:ascii="Times New Roman" w:eastAsiaTheme="minorEastAsia" w:hAnsi="Times New Roman" w:cs="Times New Roman"/>
          <w:i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 xml:space="preserve">  , </m:t>
        </m:r>
      </m:oMath>
      <w:r w:rsidRPr="00926CE4">
        <w:rPr>
          <w:rFonts w:ascii="Times New Roman" w:eastAsiaTheme="minorEastAsia" w:hAnsi="Times New Roman" w:cs="Times New Roman"/>
          <w:i/>
        </w:rPr>
        <w:t>…….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 w:rsidR="00926CE4">
        <w:rPr>
          <w:rFonts w:ascii="Times New Roman" w:eastAsiaTheme="minorEastAsia" w:hAnsi="Times New Roman" w:cs="Times New Roman"/>
          <w:i/>
        </w:rPr>
        <w:t xml:space="preserve"> .</w:t>
      </w:r>
    </w:p>
    <w:p w:rsidR="00950254" w:rsidRPr="0068699D" w:rsidRDefault="004D4545" w:rsidP="009502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</w:t>
      </w:r>
      <w:r w:rsidR="00950254" w:rsidRPr="0068699D">
        <w:rPr>
          <w:rFonts w:ascii="Times New Roman" w:eastAsiaTheme="minorEastAsia" w:hAnsi="Times New Roman" w:cs="Times New Roman"/>
        </w:rPr>
        <w:t xml:space="preserve">On calcule de la valeur moyenne de x notée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950254" w:rsidRPr="0068699D">
        <w:rPr>
          <w:rFonts w:ascii="Times New Roman" w:eastAsiaTheme="minorEastAsia" w:hAnsi="Times New Roman" w:cs="Times New Roman"/>
        </w:rPr>
        <w:t xml:space="preserve"> :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rderBox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borderBox>
      </m:oMath>
    </w:p>
    <w:p w:rsidR="004D4545" w:rsidRDefault="004D4545" w:rsidP="0095025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2. </w:t>
      </w:r>
      <w:r w:rsidR="00950254" w:rsidRPr="0068699D">
        <w:rPr>
          <w:rFonts w:ascii="Times New Roman" w:eastAsiaTheme="minorEastAsia" w:hAnsi="Times New Roman" w:cs="Times New Roman"/>
        </w:rPr>
        <w:t>On détermine l’écart-type</w:t>
      </w:r>
      <w:r w:rsidR="0068699D" w:rsidRPr="0068699D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950254" w:rsidRPr="0068699D">
        <w:rPr>
          <w:rFonts w:ascii="Times New Roman" w:eastAsiaTheme="minorEastAsia" w:hAnsi="Times New Roman" w:cs="Times New Roman"/>
        </w:rPr>
        <w:t> sur</w:t>
      </w:r>
      <w:r w:rsidR="0068699D">
        <w:rPr>
          <w:rFonts w:ascii="Times New Roman" w:eastAsiaTheme="minorEastAsia" w:hAnsi="Times New Roman" w:cs="Times New Roman"/>
        </w:rPr>
        <w:t xml:space="preserve"> la valeur moyenne</w:t>
      </w:r>
      <w:r w:rsidR="00950254" w:rsidRPr="0068699D">
        <w:rPr>
          <w:rFonts w:ascii="Times New Roman" w:eastAsiaTheme="minorEastAsia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 xml:space="preserve">x </m:t>
            </m:r>
          </m:e>
        </m:acc>
      </m:oMath>
      <w:r w:rsidR="00950254" w:rsidRPr="0068699D">
        <w:rPr>
          <w:rFonts w:ascii="Times New Roman" w:eastAsiaTheme="minorEastAsia" w:hAnsi="Times New Roman" w:cs="Times New Roman"/>
        </w:rPr>
        <w:t xml:space="preserve">: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(x)=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 )²</m:t>
                        </m:r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n-1</m:t>
                    </m:r>
                  </m:den>
                </m:f>
              </m:e>
            </m:rad>
          </m:e>
        </m:borderBox>
      </m:oMath>
    </w:p>
    <w:p w:rsidR="0068699D" w:rsidRPr="004D4545" w:rsidRDefault="004D4545" w:rsidP="0095025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68699D">
        <w:rPr>
          <w:rFonts w:ascii="Times New Roman" w:eastAsiaTheme="minorEastAsia" w:hAnsi="Times New Roman" w:cs="Times New Roman"/>
        </w:rPr>
        <w:t xml:space="preserve">On déduit </w:t>
      </w:r>
      <w:r w:rsidR="00950254" w:rsidRPr="0068699D">
        <w:rPr>
          <w:rFonts w:ascii="Times New Roman" w:eastAsiaTheme="minorEastAsia" w:hAnsi="Times New Roman" w:cs="Times New Roman"/>
        </w:rPr>
        <w:t>l’incertitude</w:t>
      </w:r>
      <w:r w:rsidR="0068699D">
        <w:rPr>
          <w:rFonts w:ascii="Times New Roman" w:eastAsiaTheme="minorEastAsia" w:hAnsi="Times New Roman" w:cs="Times New Roman"/>
        </w:rPr>
        <w:t xml:space="preserve"> U(x)</w:t>
      </w:r>
      <w:r w:rsidR="0068699D" w:rsidRPr="0068699D">
        <w:rPr>
          <w:rFonts w:ascii="Times New Roman" w:eastAsiaTheme="minorEastAsia" w:hAnsi="Times New Roman" w:cs="Times New Roman"/>
        </w:rPr>
        <w:t xml:space="preserve"> sur</w:t>
      </w:r>
      <w:r w:rsidR="0068699D">
        <w:rPr>
          <w:rFonts w:ascii="Times New Roman" w:eastAsiaTheme="minorEastAsia" w:hAnsi="Times New Roman" w:cs="Times New Roman"/>
        </w:rPr>
        <w:t xml:space="preserve"> la valeur moyenne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 xml:space="preserve">x </m:t>
            </m:r>
          </m:e>
        </m:acc>
      </m:oMath>
      <w:r w:rsidR="0068699D">
        <w:rPr>
          <w:rFonts w:ascii="Times New Roman" w:eastAsiaTheme="minorEastAsia" w:hAnsi="Times New Roman" w:cs="Times New Roman"/>
        </w:rPr>
        <w:t xml:space="preserve"> </w:t>
      </w:r>
      <w:r w:rsidR="00950254" w:rsidRPr="0068699D">
        <w:rPr>
          <w:rFonts w:ascii="Times New Roman" w:eastAsiaTheme="minorEastAsia" w:hAnsi="Times New Roman" w:cs="Times New Roman"/>
        </w:rPr>
        <w:t xml:space="preserve"> :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n-1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(x)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e>
        </m:borderBox>
      </m:oMath>
    </w:p>
    <w:p w:rsidR="00926CE4" w:rsidRDefault="004D4545" w:rsidP="00926CE4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68699D" w:rsidRPr="00926CE4">
        <w:rPr>
          <w:rFonts w:ascii="Times New Roman" w:eastAsiaTheme="minorEastAsia" w:hAnsi="Times New Roman" w:cs="Times New Roman"/>
        </w:rPr>
        <w:t xml:space="preserve">● </w:t>
      </w:r>
      <w:r w:rsidR="00950254" w:rsidRPr="00926CE4">
        <w:rPr>
          <w:rFonts w:ascii="Times New Roman" w:eastAsiaTheme="minorEastAsia" w:hAnsi="Times New Roman" w:cs="Times New Roman"/>
        </w:rPr>
        <w:t xml:space="preserve">k est le </w:t>
      </w:r>
      <w:r w:rsidR="00950254" w:rsidRPr="00926CE4">
        <w:rPr>
          <w:rFonts w:ascii="Times New Roman" w:eastAsiaTheme="minorEastAsia" w:hAnsi="Times New Roman" w:cs="Times New Roman"/>
          <w:b/>
        </w:rPr>
        <w:t>facteur d’élargissement</w:t>
      </w:r>
      <w:r w:rsidR="00950254" w:rsidRPr="00926CE4">
        <w:rPr>
          <w:rFonts w:ascii="Times New Roman" w:eastAsiaTheme="minorEastAsia" w:hAnsi="Times New Roman" w:cs="Times New Roman"/>
        </w:rPr>
        <w:t>, il est déterminé par rapport au nombre de mesure et à la précision souhaitée</w:t>
      </w:r>
      <w:r w:rsidR="00926CE4">
        <w:rPr>
          <w:rFonts w:ascii="Times New Roman" w:eastAsiaTheme="minorEastAsia" w:hAnsi="Times New Roman" w:cs="Times New Roman"/>
        </w:rPr>
        <w:t xml:space="preserve">         </w:t>
      </w:r>
      <w:r w:rsidR="00950254" w:rsidRPr="00926CE4">
        <w:rPr>
          <w:rFonts w:ascii="Times New Roman" w:eastAsiaTheme="minorEastAsia" w:hAnsi="Times New Roman" w:cs="Times New Roman"/>
        </w:rPr>
        <w:t xml:space="preserve"> </w:t>
      </w:r>
      <w:r w:rsidR="00926CE4">
        <w:rPr>
          <w:rFonts w:ascii="Times New Roman" w:eastAsiaTheme="minorEastAsia" w:hAnsi="Times New Roman" w:cs="Times New Roman"/>
        </w:rPr>
        <w:t xml:space="preserve"> </w:t>
      </w:r>
    </w:p>
    <w:p w:rsidR="00950254" w:rsidRDefault="00926CE4" w:rsidP="00926CE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proofErr w:type="gramStart"/>
      <w:r w:rsidR="00950254" w:rsidRPr="00926CE4">
        <w:rPr>
          <w:rFonts w:ascii="Times New Roman" w:eastAsiaTheme="minorEastAsia" w:hAnsi="Times New Roman" w:cs="Times New Roman"/>
        </w:rPr>
        <w:t>à</w:t>
      </w:r>
      <w:proofErr w:type="gramEnd"/>
      <w:r w:rsidR="00950254" w:rsidRPr="00926CE4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l’</w:t>
      </w:r>
      <w:r w:rsidR="00950254" w:rsidRPr="00926CE4">
        <w:rPr>
          <w:rFonts w:ascii="Times New Roman" w:eastAsiaTheme="minorEastAsia" w:hAnsi="Times New Roman" w:cs="Times New Roman"/>
        </w:rPr>
        <w:t>aide de tables :</w:t>
      </w:r>
      <w:r w:rsidR="00950254" w:rsidRPr="00926CE4">
        <w:rPr>
          <w:rFonts w:ascii="Times New Roman" w:hAnsi="Times New Roman" w:cs="Times New Roman"/>
        </w:rPr>
        <w:t xml:space="preserve"> </w:t>
      </w:r>
    </w:p>
    <w:p w:rsidR="00926CE4" w:rsidRPr="00926CE4" w:rsidRDefault="00926CE4" w:rsidP="00926CE4">
      <w:pPr>
        <w:spacing w:after="0"/>
        <w:rPr>
          <w:rFonts w:ascii="Times New Roman" w:eastAsiaTheme="minorEastAsia" w:hAnsi="Times New Roman" w:cs="Times New Roman"/>
          <w:sz w:val="6"/>
          <w:szCs w:val="6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922"/>
        <w:gridCol w:w="922"/>
        <w:gridCol w:w="922"/>
        <w:gridCol w:w="922"/>
        <w:gridCol w:w="923"/>
        <w:gridCol w:w="922"/>
        <w:gridCol w:w="922"/>
        <w:gridCol w:w="922"/>
        <w:gridCol w:w="923"/>
      </w:tblGrid>
      <w:tr w:rsidR="00950254" w:rsidRPr="004D4545" w:rsidTr="004D4545">
        <w:tc>
          <w:tcPr>
            <w:tcW w:w="709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950254" w:rsidRPr="004D4545" w:rsidTr="004D4545">
        <w:tc>
          <w:tcPr>
            <w:tcW w:w="709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k</w:t>
            </w:r>
            <w:r w:rsidRPr="004D4545">
              <w:rPr>
                <w:rFonts w:cs="Times New Roman"/>
                <w:sz w:val="16"/>
                <w:szCs w:val="16"/>
                <w:vertAlign w:val="subscript"/>
              </w:rPr>
              <w:t>(95%)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12,7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4,30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3,18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2,78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2,57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2,45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2,37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2,31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2,26</w:t>
            </w:r>
          </w:p>
        </w:tc>
      </w:tr>
      <w:tr w:rsidR="00950254" w:rsidRPr="004D4545" w:rsidTr="004D4545">
        <w:tc>
          <w:tcPr>
            <w:tcW w:w="709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k</w:t>
            </w:r>
            <w:r w:rsidRPr="004D4545">
              <w:rPr>
                <w:rFonts w:cs="Times New Roman"/>
                <w:sz w:val="16"/>
                <w:szCs w:val="16"/>
                <w:vertAlign w:val="subscript"/>
              </w:rPr>
              <w:t>(99%)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63,7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9,93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5,84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4,60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4,03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3,71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3,50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3,36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3,25</w:t>
            </w:r>
          </w:p>
        </w:tc>
      </w:tr>
    </w:tbl>
    <w:p w:rsidR="00950254" w:rsidRPr="004D4545" w:rsidRDefault="00950254" w:rsidP="00950254">
      <w:pPr>
        <w:pStyle w:val="Standard"/>
        <w:jc w:val="both"/>
        <w:rPr>
          <w:rFonts w:cs="Times New Roman"/>
          <w:sz w:val="16"/>
          <w:szCs w:val="16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922"/>
        <w:gridCol w:w="922"/>
        <w:gridCol w:w="922"/>
        <w:gridCol w:w="922"/>
        <w:gridCol w:w="923"/>
        <w:gridCol w:w="922"/>
        <w:gridCol w:w="922"/>
        <w:gridCol w:w="922"/>
        <w:gridCol w:w="923"/>
      </w:tblGrid>
      <w:tr w:rsidR="00950254" w:rsidRPr="004D4545" w:rsidTr="004D4545">
        <w:tc>
          <w:tcPr>
            <w:tcW w:w="709" w:type="dxa"/>
          </w:tcPr>
          <w:p w:rsidR="00950254" w:rsidRPr="004D4545" w:rsidRDefault="00950254" w:rsidP="00345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54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∞</w:t>
            </w:r>
          </w:p>
        </w:tc>
      </w:tr>
      <w:tr w:rsidR="00950254" w:rsidRPr="004D4545" w:rsidTr="004D4545">
        <w:tc>
          <w:tcPr>
            <w:tcW w:w="709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k</w:t>
            </w:r>
            <w:r w:rsidRPr="004D4545">
              <w:rPr>
                <w:rFonts w:cs="Times New Roman"/>
                <w:sz w:val="16"/>
                <w:szCs w:val="16"/>
                <w:vertAlign w:val="subscript"/>
              </w:rPr>
              <w:t>(95%)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2,20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2,16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2,13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2,11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2,09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2,04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2,01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1,98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1,96</w:t>
            </w:r>
          </w:p>
        </w:tc>
      </w:tr>
      <w:tr w:rsidR="00950254" w:rsidRPr="004D4545" w:rsidTr="004D4545">
        <w:tc>
          <w:tcPr>
            <w:tcW w:w="709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k</w:t>
            </w:r>
            <w:r w:rsidRPr="004D4545">
              <w:rPr>
                <w:rFonts w:cs="Times New Roman"/>
                <w:sz w:val="16"/>
                <w:szCs w:val="16"/>
                <w:vertAlign w:val="subscript"/>
              </w:rPr>
              <w:t>(99%)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3,11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3,01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2,95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2,90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2,86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2,76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2,68</w:t>
            </w:r>
          </w:p>
        </w:tc>
        <w:tc>
          <w:tcPr>
            <w:tcW w:w="922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2,63</w:t>
            </w:r>
          </w:p>
        </w:tc>
        <w:tc>
          <w:tcPr>
            <w:tcW w:w="923" w:type="dxa"/>
          </w:tcPr>
          <w:p w:rsidR="00950254" w:rsidRPr="004D4545" w:rsidRDefault="00950254" w:rsidP="003456E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4D4545">
              <w:rPr>
                <w:rFonts w:cs="Times New Roman"/>
                <w:sz w:val="16"/>
                <w:szCs w:val="16"/>
              </w:rPr>
              <w:t>2,57</w:t>
            </w:r>
          </w:p>
        </w:tc>
      </w:tr>
    </w:tbl>
    <w:p w:rsidR="00950254" w:rsidRPr="004D4545" w:rsidRDefault="00950254" w:rsidP="00950254">
      <w:pPr>
        <w:pStyle w:val="Standard"/>
        <w:jc w:val="both"/>
        <w:rPr>
          <w:rFonts w:cs="Times New Roman"/>
          <w:sz w:val="16"/>
          <w:szCs w:val="16"/>
        </w:rPr>
      </w:pPr>
    </w:p>
    <w:p w:rsidR="00950254" w:rsidRDefault="004D4545" w:rsidP="00950254">
      <w:pPr>
        <w:rPr>
          <w:rFonts w:ascii="Times New Roman" w:eastAsiaTheme="minorEastAsia" w:hAnsi="Times New Roman" w:cs="Times New Roman"/>
          <w:sz w:val="20"/>
          <w:szCs w:val="20"/>
        </w:rPr>
      </w:pPr>
      <w:r w:rsidRPr="004D4545">
        <w:rPr>
          <w:rFonts w:ascii="Times New Roman" w:eastAsiaTheme="minorEastAsia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</w:t>
      </w:r>
      <w:r w:rsidRPr="004D4545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</w:t>
      </w:r>
      <w:proofErr w:type="spellStart"/>
      <w:r w:rsidR="00950254" w:rsidRPr="004D4545">
        <w:rPr>
          <w:rFonts w:ascii="Times New Roman" w:eastAsiaTheme="minorEastAsia" w:hAnsi="Times New Roman" w:cs="Times New Roman"/>
          <w:i/>
          <w:sz w:val="20"/>
          <w:szCs w:val="20"/>
          <w:u w:val="single"/>
        </w:rPr>
        <w:t>Rq</w:t>
      </w:r>
      <w:proofErr w:type="spellEnd"/>
      <w:r w:rsidR="00950254" w:rsidRPr="004D4545">
        <w:rPr>
          <w:rFonts w:ascii="Times New Roman" w:eastAsiaTheme="minorEastAsia" w:hAnsi="Times New Roman" w:cs="Times New Roman"/>
          <w:i/>
          <w:sz w:val="20"/>
          <w:szCs w:val="20"/>
        </w:rPr>
        <w:t xml:space="preserve"> : </w:t>
      </w:r>
      <w:r w:rsidR="00950254" w:rsidRPr="004D4545">
        <w:rPr>
          <w:rFonts w:ascii="Times New Roman" w:eastAsiaTheme="minorEastAsia" w:hAnsi="Times New Roman" w:cs="Times New Roman"/>
          <w:b/>
          <w:i/>
          <w:sz w:val="20"/>
          <w:szCs w:val="20"/>
        </w:rPr>
        <w:t>incertitude type</w:t>
      </w:r>
      <w:r w:rsidR="00950254" w:rsidRPr="004D4545">
        <w:rPr>
          <w:rFonts w:ascii="Times New Roman" w:eastAsiaTheme="minorEastAsia" w:hAnsi="Times New Roman" w:cs="Times New Roman"/>
          <w:i/>
          <w:sz w:val="20"/>
          <w:szCs w:val="20"/>
        </w:rPr>
        <w:t xml:space="preserve"> 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n-1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    </m:t>
        </m:r>
      </m:oMath>
      <w:r w:rsidR="00950254" w:rsidRPr="004D4545">
        <w:rPr>
          <w:rFonts w:ascii="Times New Roman" w:eastAsiaTheme="minorEastAsia" w:hAnsi="Times New Roman" w:cs="Times New Roman"/>
          <w:i/>
          <w:sz w:val="20"/>
          <w:szCs w:val="20"/>
        </w:rPr>
        <w:t xml:space="preserve">et    </w:t>
      </w:r>
      <w:r w:rsidR="00950254" w:rsidRPr="004D4545">
        <w:rPr>
          <w:rFonts w:ascii="Times New Roman" w:eastAsiaTheme="minorEastAsia" w:hAnsi="Times New Roman" w:cs="Times New Roman"/>
          <w:b/>
          <w:sz w:val="20"/>
          <w:szCs w:val="20"/>
        </w:rPr>
        <w:t xml:space="preserve">incertitude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 U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=k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n-1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</w:p>
    <w:p w:rsidR="00950254" w:rsidRPr="0068699D" w:rsidRDefault="004D4545" w:rsidP="00950254">
      <w:pPr>
        <w:rPr>
          <w:rFonts w:ascii="Times New Roman" w:eastAsiaTheme="minorEastAsia" w:hAnsi="Times New Roman" w:cs="Times New Roman"/>
          <w:b/>
          <w:bdr w:val="single" w:sz="4" w:space="0" w:color="auto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4. </w:t>
      </w:r>
      <w:r>
        <w:rPr>
          <w:rFonts w:ascii="Times New Roman" w:eastAsiaTheme="minorEastAsia" w:hAnsi="Times New Roman" w:cs="Times New Roman"/>
          <w:bdr w:val="single" w:sz="4" w:space="0" w:color="auto"/>
        </w:rPr>
        <w:t xml:space="preserve"> </w:t>
      </w:r>
      <w:r w:rsidR="00950254" w:rsidRPr="0068699D">
        <w:rPr>
          <w:rFonts w:ascii="Times New Roman" w:eastAsiaTheme="minorEastAsia" w:hAnsi="Times New Roman" w:cs="Times New Roman"/>
          <w:bdr w:val="single" w:sz="4" w:space="0" w:color="auto"/>
        </w:rPr>
        <w:t xml:space="preserve">On notera à la fin des calculs le résultat sous la forme : </w:t>
      </w:r>
      <m:oMath>
        <m:r>
          <m:rPr>
            <m:sty m:val="bi"/>
          </m:rPr>
          <w:rPr>
            <w:rFonts w:ascii="Cambria Math" w:eastAsiaTheme="minorEastAsia" w:hAnsi="Cambria Math" w:cs="Times New Roman"/>
            <w:bdr w:val="single" w:sz="4" w:space="0" w:color="auto"/>
          </w:rPr>
          <m:t xml:space="preserve">x 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bdr w:val="single" w:sz="4" w:space="0" w:color="auto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bdr w:val="single" w:sz="4" w:space="0" w:color="auto"/>
              </w:rPr>
              <m:t xml:space="preserve">x 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bdr w:val="single" w:sz="4" w:space="0" w:color="auto"/>
          </w:rPr>
          <m:t xml:space="preserve"> ±U(x)</m:t>
        </m:r>
      </m:oMath>
      <w:r w:rsidR="00950254" w:rsidRPr="0068699D">
        <w:rPr>
          <w:rFonts w:ascii="Times New Roman" w:eastAsiaTheme="minorEastAsia" w:hAnsi="Times New Roman" w:cs="Times New Roman"/>
          <w:bdr w:val="single" w:sz="4" w:space="0" w:color="auto"/>
        </w:rPr>
        <w:t xml:space="preserve"> </w:t>
      </w:r>
    </w:p>
    <w:p w:rsidR="00950254" w:rsidRPr="0068699D" w:rsidRDefault="00926CE4" w:rsidP="00950254">
      <w:pPr>
        <w:pStyle w:val="Paragraphedelist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155575</wp:posOffset>
                </wp:positionV>
                <wp:extent cx="6772275" cy="9525"/>
                <wp:effectExtent l="0" t="0" r="952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5B10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25pt" to="52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" strokecolor="#4579b8 [3044]"/>
            </w:pict>
          </mc:Fallback>
        </mc:AlternateContent>
      </w:r>
    </w:p>
    <w:p w:rsidR="00950254" w:rsidRPr="0068699D" w:rsidRDefault="00950254" w:rsidP="00950254">
      <w:pPr>
        <w:rPr>
          <w:rFonts w:ascii="Times New Roman" w:eastAsiaTheme="minorEastAsia" w:hAnsi="Times New Roman" w:cs="Times New Roman"/>
          <w:i/>
        </w:rPr>
      </w:pPr>
      <w:r w:rsidRPr="0068699D">
        <w:rPr>
          <w:rFonts w:ascii="Times New Roman" w:eastAsiaTheme="minorEastAsia" w:hAnsi="Times New Roman" w:cs="Times New Roman"/>
          <w:i/>
          <w:u w:val="single"/>
        </w:rPr>
        <w:t>Ex</w:t>
      </w:r>
      <w:r w:rsidRPr="0068699D">
        <w:rPr>
          <w:rFonts w:ascii="Times New Roman" w:eastAsiaTheme="minorEastAsia" w:hAnsi="Times New Roman" w:cs="Times New Roman"/>
          <w:i/>
        </w:rPr>
        <w:t> : Mesure d’une longueur l en 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950254" w:rsidRPr="0068699D" w:rsidTr="003456E6">
        <w:tc>
          <w:tcPr>
            <w:tcW w:w="0" w:type="auto"/>
          </w:tcPr>
          <w:p w:rsidR="00950254" w:rsidRPr="0068699D" w:rsidRDefault="00950254" w:rsidP="003456E6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b/>
                <w:i/>
              </w:rPr>
              <w:t>Mesure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3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4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6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7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8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9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10</w:t>
            </w:r>
          </w:p>
        </w:tc>
      </w:tr>
      <w:tr w:rsidR="00950254" w:rsidRPr="0068699D" w:rsidTr="003456E6">
        <w:tc>
          <w:tcPr>
            <w:tcW w:w="0" w:type="auto"/>
          </w:tcPr>
          <w:p w:rsidR="00950254" w:rsidRPr="0068699D" w:rsidRDefault="00950254" w:rsidP="003456E6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b/>
                <w:i/>
              </w:rPr>
              <w:t>Valeur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52,41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52,35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52,30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52,47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52,29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52,34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52,38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52,30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52,36</w:t>
            </w:r>
          </w:p>
        </w:tc>
        <w:tc>
          <w:tcPr>
            <w:tcW w:w="0" w:type="auto"/>
          </w:tcPr>
          <w:p w:rsidR="00950254" w:rsidRPr="0068699D" w:rsidRDefault="00950254" w:rsidP="003456E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8699D">
              <w:rPr>
                <w:rFonts w:ascii="Times New Roman" w:eastAsiaTheme="minorEastAsia" w:hAnsi="Times New Roman" w:cs="Times New Roman"/>
                <w:i/>
              </w:rPr>
              <w:t>52,40</w:t>
            </w:r>
          </w:p>
        </w:tc>
      </w:tr>
    </w:tbl>
    <w:p w:rsidR="00950254" w:rsidRPr="0068699D" w:rsidRDefault="00950254" w:rsidP="00950254">
      <w:pPr>
        <w:rPr>
          <w:rFonts w:ascii="Times New Roman" w:eastAsiaTheme="minorEastAsia" w:hAnsi="Times New Roman" w:cs="Times New Roman"/>
          <w:i/>
        </w:rPr>
      </w:pPr>
    </w:p>
    <w:p w:rsidR="00950254" w:rsidRPr="0068699D" w:rsidRDefault="00950254" w:rsidP="00950254">
      <w:pPr>
        <w:rPr>
          <w:rFonts w:ascii="Times New Roman" w:eastAsiaTheme="minorEastAsia" w:hAnsi="Times New Roman" w:cs="Times New Roman"/>
        </w:rPr>
      </w:pPr>
    </w:p>
    <w:p w:rsidR="00950254" w:rsidRPr="0068699D" w:rsidRDefault="00950254" w:rsidP="00950254">
      <w:pPr>
        <w:rPr>
          <w:rFonts w:ascii="Times New Roman" w:eastAsiaTheme="minorEastAsia" w:hAnsi="Times New Roman" w:cs="Times New Roman"/>
        </w:rPr>
      </w:pPr>
    </w:p>
    <w:p w:rsidR="00950254" w:rsidRPr="0068699D" w:rsidRDefault="00950254" w:rsidP="00950254">
      <w:pPr>
        <w:rPr>
          <w:rFonts w:ascii="Times New Roman" w:eastAsiaTheme="minorEastAsia" w:hAnsi="Times New Roman" w:cs="Times New Roman"/>
        </w:rPr>
      </w:pPr>
    </w:p>
    <w:sectPr w:rsidR="00950254" w:rsidRPr="0068699D" w:rsidSect="0095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3E25"/>
    <w:multiLevelType w:val="hybridMultilevel"/>
    <w:tmpl w:val="DE641EA0"/>
    <w:lvl w:ilvl="0" w:tplc="D3EE13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A0C"/>
    <w:multiLevelType w:val="hybridMultilevel"/>
    <w:tmpl w:val="538A6FA4"/>
    <w:lvl w:ilvl="0" w:tplc="3C8656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4"/>
    <w:rsid w:val="000E13AF"/>
    <w:rsid w:val="002E3BB5"/>
    <w:rsid w:val="00394A11"/>
    <w:rsid w:val="004D4545"/>
    <w:rsid w:val="0068699D"/>
    <w:rsid w:val="007442FE"/>
    <w:rsid w:val="00926CE4"/>
    <w:rsid w:val="00950254"/>
    <w:rsid w:val="00A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2E16"/>
  <w15:docId w15:val="{18F03B30-2CE0-4BF5-B2AC-FDFA390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254"/>
    <w:pPr>
      <w:ind w:left="720"/>
      <w:contextualSpacing/>
    </w:pPr>
  </w:style>
  <w:style w:type="table" w:styleId="Grilledutableau">
    <w:name w:val="Table Grid"/>
    <w:basedOn w:val="TableauNormal"/>
    <w:rsid w:val="0095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0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5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50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Josiane Levy</cp:lastModifiedBy>
  <cp:revision>2</cp:revision>
  <cp:lastPrinted>2014-09-28T20:30:00Z</cp:lastPrinted>
  <dcterms:created xsi:type="dcterms:W3CDTF">2016-06-13T20:21:00Z</dcterms:created>
  <dcterms:modified xsi:type="dcterms:W3CDTF">2016-06-13T20:21:00Z</dcterms:modified>
</cp:coreProperties>
</file>