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7A" w:rsidRPr="00D859B9" w:rsidRDefault="00251E7A" w:rsidP="00251E7A">
      <w:pPr>
        <w:rPr>
          <w:rFonts w:ascii="Ayuthaya" w:hAnsi="Ayuthaya" w:cs="Ayuthaya"/>
        </w:rPr>
      </w:pPr>
    </w:p>
    <w:p w:rsidR="00EE7B1C" w:rsidRPr="004D1B1C" w:rsidRDefault="00EE7B1C" w:rsidP="00EE7B1C">
      <w:pPr>
        <w:pStyle w:val="Default"/>
        <w:rPr>
          <w:sz w:val="20"/>
          <w:szCs w:val="20"/>
        </w:rPr>
      </w:pPr>
    </w:p>
    <w:p w:rsidR="00EE7B1C" w:rsidRPr="004D1B1C" w:rsidRDefault="00EE7B1C" w:rsidP="00EE7B1C">
      <w:pPr>
        <w:pStyle w:val="CM1"/>
        <w:pBdr>
          <w:top w:val="single" w:sz="4" w:space="1" w:color="auto"/>
          <w:left w:val="single" w:sz="4" w:space="0" w:color="auto"/>
          <w:bottom w:val="single" w:sz="4" w:space="1" w:color="auto"/>
          <w:right w:val="single" w:sz="4" w:space="4" w:color="auto"/>
        </w:pBdr>
        <w:jc w:val="center"/>
        <w:outlineLvl w:val="0"/>
        <w:rPr>
          <w:color w:val="000000"/>
          <w:sz w:val="20"/>
          <w:szCs w:val="20"/>
        </w:rPr>
      </w:pPr>
      <w:r w:rsidRPr="004D1B1C">
        <w:rPr>
          <w:b/>
          <w:bCs/>
          <w:color w:val="000000"/>
          <w:sz w:val="20"/>
          <w:szCs w:val="20"/>
        </w:rPr>
        <w:t xml:space="preserve">Dissertation s’appuyant sur un dossier documentaire </w:t>
      </w:r>
    </w:p>
    <w:p w:rsidR="00EE7B1C" w:rsidRPr="004D1B1C" w:rsidRDefault="00EE7B1C" w:rsidP="00EE7B1C">
      <w:pPr>
        <w:pStyle w:val="CM7"/>
        <w:spacing w:after="0"/>
        <w:rPr>
          <w:i/>
          <w:iCs/>
          <w:color w:val="000000"/>
          <w:sz w:val="20"/>
          <w:szCs w:val="20"/>
        </w:rPr>
      </w:pPr>
    </w:p>
    <w:p w:rsidR="00EE7B1C" w:rsidRPr="004D1B1C" w:rsidRDefault="00EE7B1C" w:rsidP="00EE7B1C">
      <w:pPr>
        <w:pStyle w:val="CM7"/>
        <w:spacing w:after="0"/>
        <w:rPr>
          <w:color w:val="000000"/>
          <w:sz w:val="20"/>
          <w:szCs w:val="20"/>
        </w:rPr>
      </w:pPr>
      <w:r w:rsidRPr="004D1B1C">
        <w:rPr>
          <w:i/>
          <w:iCs/>
          <w:color w:val="000000"/>
          <w:sz w:val="20"/>
          <w:szCs w:val="20"/>
        </w:rPr>
        <w:t xml:space="preserve">Il est demandé au candidat : </w:t>
      </w:r>
    </w:p>
    <w:p w:rsidR="00EE7B1C" w:rsidRPr="004D1B1C" w:rsidRDefault="00EE7B1C" w:rsidP="00EE7B1C">
      <w:pPr>
        <w:numPr>
          <w:ilvl w:val="0"/>
          <w:numId w:val="1"/>
        </w:numPr>
        <w:jc w:val="both"/>
        <w:rPr>
          <w:rFonts w:ascii="Times New Roman" w:hAnsi="Times New Roman"/>
          <w:i/>
          <w:sz w:val="20"/>
          <w:szCs w:val="20"/>
        </w:rPr>
      </w:pPr>
      <w:r w:rsidRPr="004D1B1C">
        <w:rPr>
          <w:rFonts w:ascii="Times New Roman" w:hAnsi="Times New Roman"/>
          <w:i/>
          <w:sz w:val="20"/>
          <w:szCs w:val="20"/>
        </w:rPr>
        <w:t>de répondre à la question posée par le sujet ;</w:t>
      </w:r>
    </w:p>
    <w:p w:rsidR="00EE7B1C" w:rsidRPr="004D1B1C" w:rsidRDefault="00EE7B1C" w:rsidP="00EE7B1C">
      <w:pPr>
        <w:numPr>
          <w:ilvl w:val="0"/>
          <w:numId w:val="1"/>
        </w:numPr>
        <w:jc w:val="both"/>
        <w:rPr>
          <w:rFonts w:ascii="Times New Roman" w:hAnsi="Times New Roman"/>
          <w:i/>
          <w:sz w:val="20"/>
          <w:szCs w:val="20"/>
        </w:rPr>
      </w:pPr>
      <w:r w:rsidRPr="004D1B1C">
        <w:rPr>
          <w:rFonts w:ascii="Times New Roman" w:hAnsi="Times New Roman"/>
          <w:i/>
          <w:sz w:val="20"/>
          <w:szCs w:val="20"/>
        </w:rPr>
        <w:t>de construire une argumentation à partir d'une problématique qu'il devra élaborer ;</w:t>
      </w:r>
    </w:p>
    <w:p w:rsidR="00EE7B1C" w:rsidRPr="004D1B1C" w:rsidRDefault="00EE7B1C" w:rsidP="00EE7B1C">
      <w:pPr>
        <w:numPr>
          <w:ilvl w:val="0"/>
          <w:numId w:val="1"/>
        </w:numPr>
        <w:jc w:val="both"/>
        <w:rPr>
          <w:rFonts w:ascii="Times New Roman" w:hAnsi="Times New Roman"/>
          <w:i/>
          <w:sz w:val="20"/>
          <w:szCs w:val="20"/>
        </w:rPr>
      </w:pPr>
      <w:r w:rsidRPr="004D1B1C">
        <w:rPr>
          <w:rFonts w:ascii="Times New Roman" w:hAnsi="Times New Roman"/>
          <w:i/>
          <w:sz w:val="20"/>
          <w:szCs w:val="20"/>
        </w:rPr>
        <w:t>de mobiliser des connaissances et des informations pertinentes pour traiter le sujet, notamment celles figurant dans le dossier ;</w:t>
      </w:r>
    </w:p>
    <w:p w:rsidR="00EE7B1C" w:rsidRPr="004D1B1C" w:rsidRDefault="00EE7B1C" w:rsidP="00EE7B1C">
      <w:pPr>
        <w:numPr>
          <w:ilvl w:val="0"/>
          <w:numId w:val="1"/>
        </w:numPr>
        <w:jc w:val="both"/>
        <w:rPr>
          <w:rFonts w:ascii="Times New Roman" w:hAnsi="Times New Roman"/>
          <w:i/>
          <w:sz w:val="20"/>
          <w:szCs w:val="20"/>
        </w:rPr>
      </w:pPr>
      <w:r w:rsidRPr="004D1B1C">
        <w:rPr>
          <w:rFonts w:ascii="Times New Roman" w:hAnsi="Times New Roman"/>
          <w:i/>
          <w:sz w:val="20"/>
          <w:szCs w:val="20"/>
        </w:rPr>
        <w:t>de rédiger en utilisant le vocabulaire économique et social spécifique et approprié à la question, en organisant le développement sous la forme d'un plan cohérent qui ménage l'équilibre des parties</w:t>
      </w:r>
    </w:p>
    <w:p w:rsidR="00EE7B1C" w:rsidRPr="004D1B1C" w:rsidRDefault="00EE7B1C" w:rsidP="00EE7B1C">
      <w:pPr>
        <w:pStyle w:val="Default"/>
        <w:rPr>
          <w:color w:val="auto"/>
          <w:sz w:val="20"/>
          <w:szCs w:val="20"/>
        </w:rPr>
      </w:pPr>
    </w:p>
    <w:p w:rsidR="00EE7B1C" w:rsidRPr="004D1B1C" w:rsidRDefault="00EE7B1C" w:rsidP="00EE7B1C">
      <w:pPr>
        <w:pStyle w:val="CM8"/>
        <w:spacing w:after="0"/>
        <w:jc w:val="both"/>
        <w:rPr>
          <w:sz w:val="20"/>
          <w:szCs w:val="20"/>
        </w:rPr>
      </w:pPr>
      <w:r w:rsidRPr="004D1B1C">
        <w:rPr>
          <w:i/>
          <w:iCs/>
          <w:sz w:val="20"/>
          <w:szCs w:val="20"/>
        </w:rPr>
        <w:t xml:space="preserve">Il sera tenu compte, dans la notation, de la clarté de l'expression et du soin apporté à la présentation. </w:t>
      </w:r>
    </w:p>
    <w:p w:rsidR="00EE7B1C" w:rsidRPr="004D1B1C" w:rsidRDefault="00EE7B1C" w:rsidP="00EE7B1C">
      <w:pPr>
        <w:pStyle w:val="CM9"/>
        <w:spacing w:after="0"/>
        <w:jc w:val="center"/>
        <w:outlineLvl w:val="0"/>
        <w:rPr>
          <w:b/>
          <w:bCs/>
          <w:sz w:val="20"/>
          <w:szCs w:val="20"/>
        </w:rPr>
      </w:pPr>
    </w:p>
    <w:p w:rsidR="00EE7B1C" w:rsidRPr="004D1B1C" w:rsidRDefault="00EE7B1C" w:rsidP="00EE7B1C">
      <w:pPr>
        <w:pStyle w:val="CM9"/>
        <w:spacing w:after="0"/>
        <w:jc w:val="center"/>
        <w:outlineLvl w:val="0"/>
        <w:rPr>
          <w:sz w:val="20"/>
          <w:szCs w:val="20"/>
        </w:rPr>
      </w:pPr>
      <w:r w:rsidRPr="004D1B1C">
        <w:rPr>
          <w:b/>
          <w:bCs/>
          <w:sz w:val="20"/>
          <w:szCs w:val="20"/>
        </w:rPr>
        <w:t>SUJET</w:t>
      </w:r>
    </w:p>
    <w:p w:rsidR="00EE7B1C" w:rsidRPr="004D1B1C" w:rsidRDefault="00425DCA" w:rsidP="00425DCA">
      <w:pPr>
        <w:pStyle w:val="Default"/>
        <w:jc w:val="center"/>
        <w:rPr>
          <w:color w:val="auto"/>
          <w:sz w:val="20"/>
          <w:szCs w:val="20"/>
        </w:rPr>
      </w:pPr>
      <w:r w:rsidRPr="000457EF">
        <w:rPr>
          <w:rFonts w:ascii="Arial" w:hAnsi="Arial" w:cs="Arial"/>
        </w:rPr>
        <w:t>L’entreprise est-elle uniquement un lieu de coopération ?</w:t>
      </w:r>
    </w:p>
    <w:p w:rsidR="00425DCA" w:rsidRDefault="00425DCA" w:rsidP="00EE7B1C">
      <w:pPr>
        <w:pStyle w:val="Default"/>
        <w:jc w:val="center"/>
        <w:rPr>
          <w:color w:val="auto"/>
          <w:sz w:val="20"/>
          <w:szCs w:val="20"/>
        </w:rPr>
      </w:pPr>
    </w:p>
    <w:p w:rsidR="00EE7B1C" w:rsidRPr="004D1B1C" w:rsidRDefault="00EE7B1C" w:rsidP="00EE7B1C">
      <w:pPr>
        <w:pStyle w:val="Default"/>
        <w:jc w:val="center"/>
        <w:rPr>
          <w:color w:val="auto"/>
          <w:sz w:val="20"/>
          <w:szCs w:val="20"/>
        </w:rPr>
      </w:pPr>
      <w:r w:rsidRPr="004D1B1C">
        <w:rPr>
          <w:color w:val="auto"/>
          <w:sz w:val="20"/>
          <w:szCs w:val="20"/>
        </w:rPr>
        <w:t>Ce sujet comporte quatre documents</w:t>
      </w:r>
    </w:p>
    <w:p w:rsidR="006E08E7" w:rsidRDefault="006E08E7"/>
    <w:p w:rsidR="000457EF" w:rsidRPr="00771168" w:rsidRDefault="000457EF" w:rsidP="000457EF">
      <w:pPr>
        <w:rPr>
          <w:rFonts w:ascii="Arial" w:hAnsi="Arial" w:cs="Arial"/>
          <w:sz w:val="22"/>
        </w:rPr>
      </w:pPr>
      <w:r w:rsidRPr="00771168">
        <w:rPr>
          <w:rFonts w:ascii="Arial" w:hAnsi="Arial" w:cs="Arial"/>
          <w:sz w:val="22"/>
        </w:rPr>
        <w:t>Document 1</w:t>
      </w:r>
    </w:p>
    <w:p w:rsidR="000457EF" w:rsidRDefault="00EE7B1C" w:rsidP="000457EF">
      <w:pPr>
        <w:rPr>
          <w:rFonts w:ascii="Arial" w:hAnsi="Arial" w:cs="Arial"/>
          <w:b/>
        </w:rPr>
      </w:pPr>
      <w:r>
        <w:rPr>
          <w:rFonts w:ascii="Arial" w:hAnsi="Arial" w:cs="Arial"/>
          <w:b/>
          <w:noProof/>
        </w:rPr>
        <w:drawing>
          <wp:inline distT="0" distB="0" distL="0" distR="0">
            <wp:extent cx="5753735" cy="345948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53735" cy="3459480"/>
                    </a:xfrm>
                    <a:prstGeom prst="rect">
                      <a:avLst/>
                    </a:prstGeom>
                    <a:noFill/>
                    <a:ln w="9525">
                      <a:noFill/>
                      <a:miter lim="800000"/>
                      <a:headEnd/>
                      <a:tailEnd/>
                    </a:ln>
                  </pic:spPr>
                </pic:pic>
              </a:graphicData>
            </a:graphic>
          </wp:inline>
        </w:drawing>
      </w:r>
    </w:p>
    <w:p w:rsidR="000457EF" w:rsidRDefault="000457EF" w:rsidP="000457EF">
      <w:pPr>
        <w:jc w:val="right"/>
        <w:rPr>
          <w:rFonts w:ascii="Arial" w:hAnsi="Arial" w:cs="Arial"/>
          <w:sz w:val="22"/>
          <w:szCs w:val="22"/>
        </w:rPr>
      </w:pPr>
      <w:r w:rsidRPr="00771168">
        <w:rPr>
          <w:rFonts w:ascii="Arial" w:hAnsi="Arial" w:cs="Arial"/>
          <w:sz w:val="22"/>
          <w:szCs w:val="22"/>
        </w:rPr>
        <w:t>D’après INSEE, comptes nationaux annuels</w:t>
      </w:r>
    </w:p>
    <w:p w:rsidR="000457EF" w:rsidRDefault="000457EF" w:rsidP="000457EF">
      <w:pPr>
        <w:rPr>
          <w:rFonts w:ascii="Arial" w:hAnsi="Arial" w:cs="Arial"/>
          <w:sz w:val="22"/>
          <w:szCs w:val="22"/>
        </w:rPr>
      </w:pPr>
    </w:p>
    <w:p w:rsidR="000457EF" w:rsidRPr="00771168" w:rsidRDefault="000457EF" w:rsidP="000457EF">
      <w:pPr>
        <w:rPr>
          <w:rFonts w:ascii="Arial" w:hAnsi="Arial" w:cs="Arial"/>
          <w:i/>
          <w:sz w:val="18"/>
          <w:szCs w:val="22"/>
        </w:rPr>
      </w:pPr>
      <w:r w:rsidRPr="00771168">
        <w:rPr>
          <w:rFonts w:ascii="Arial" w:hAnsi="Arial" w:cs="Arial"/>
          <w:i/>
          <w:sz w:val="18"/>
          <w:szCs w:val="22"/>
        </w:rPr>
        <w:t>EBE : Excédent Brut d’exploitation, mesure la part de la valeur ajoutée qui revient à l’</w:t>
      </w:r>
      <w:r>
        <w:rPr>
          <w:rFonts w:ascii="Arial" w:hAnsi="Arial" w:cs="Arial"/>
          <w:i/>
          <w:sz w:val="18"/>
          <w:szCs w:val="22"/>
        </w:rPr>
        <w:t>entreprise, il mesure le profit.</w:t>
      </w:r>
    </w:p>
    <w:p w:rsidR="000457EF" w:rsidRPr="00771168" w:rsidRDefault="000457EF" w:rsidP="000457EF">
      <w:pPr>
        <w:rPr>
          <w:rFonts w:ascii="Arial" w:hAnsi="Arial" w:cs="Arial"/>
          <w:i/>
          <w:sz w:val="18"/>
          <w:szCs w:val="22"/>
        </w:rPr>
      </w:pPr>
      <w:r w:rsidRPr="00771168">
        <w:rPr>
          <w:rFonts w:ascii="Arial" w:hAnsi="Arial" w:cs="Arial"/>
          <w:i/>
          <w:sz w:val="18"/>
          <w:szCs w:val="22"/>
        </w:rPr>
        <w:t>Note : le total ne fait pas 100 car il faut tenir compte des impôts sur la production.</w:t>
      </w:r>
    </w:p>
    <w:p w:rsidR="000457EF" w:rsidRPr="00771168" w:rsidRDefault="000457EF" w:rsidP="000457EF">
      <w:pPr>
        <w:jc w:val="right"/>
        <w:rPr>
          <w:rFonts w:ascii="Arial" w:hAnsi="Arial" w:cs="Arial"/>
          <w:i/>
          <w:sz w:val="18"/>
          <w:szCs w:val="22"/>
        </w:rPr>
      </w:pPr>
    </w:p>
    <w:p w:rsidR="000457EF" w:rsidRDefault="00EE7B1C" w:rsidP="000457EF">
      <w:pPr>
        <w:rPr>
          <w:rFonts w:ascii="Arial" w:hAnsi="Arial" w:cs="Arial"/>
          <w:b/>
        </w:rPr>
      </w:pPr>
      <w:r>
        <w:rPr>
          <w:rFonts w:ascii="Arial" w:hAnsi="Arial" w:cs="Arial"/>
          <w:b/>
        </w:rPr>
        <w:br w:type="page"/>
      </w:r>
    </w:p>
    <w:p w:rsidR="000457EF" w:rsidRPr="00D859B9" w:rsidRDefault="000457EF" w:rsidP="000457EF">
      <w:pPr>
        <w:jc w:val="both"/>
        <w:rPr>
          <w:rFonts w:ascii="Times New Roman" w:hAnsi="Times New Roman"/>
          <w:bCs/>
        </w:rPr>
      </w:pPr>
      <w:r>
        <w:rPr>
          <w:rFonts w:ascii="Times New Roman" w:hAnsi="Times New Roman"/>
          <w:bCs/>
        </w:rPr>
        <w:lastRenderedPageBreak/>
        <w:t>Document 2</w:t>
      </w:r>
    </w:p>
    <w:p w:rsidR="000457EF" w:rsidRPr="00523BC2" w:rsidRDefault="000457EF" w:rsidP="000457EF">
      <w:pPr>
        <w:widowControl w:val="0"/>
        <w:autoSpaceDE w:val="0"/>
        <w:autoSpaceDN w:val="0"/>
        <w:adjustRightInd w:val="0"/>
        <w:spacing w:after="240"/>
        <w:jc w:val="center"/>
        <w:rPr>
          <w:rFonts w:ascii="Times" w:hAnsi="Times" w:cs="Times"/>
        </w:rPr>
      </w:pPr>
      <w:r>
        <w:rPr>
          <w:rFonts w:ascii="Times" w:hAnsi="Times" w:cs="Times"/>
          <w:b/>
          <w:bCs/>
          <w:sz w:val="22"/>
          <w:szCs w:val="22"/>
        </w:rPr>
        <w:t>Part des entreprises ayant engagé au moins une négociation en 2011 et taux d’aboutissement</w:t>
      </w:r>
    </w:p>
    <w:p w:rsidR="000457EF" w:rsidRDefault="00EE7B1C" w:rsidP="000457EF">
      <w:pPr>
        <w:rPr>
          <w:rFonts w:ascii="Arial" w:hAnsi="Arial" w:cs="Arial"/>
          <w:b/>
        </w:rPr>
      </w:pPr>
      <w:r>
        <w:rPr>
          <w:rFonts w:ascii="Arial" w:hAnsi="Arial" w:cs="Arial"/>
          <w:b/>
          <w:noProof/>
        </w:rPr>
        <w:drawing>
          <wp:inline distT="0" distB="0" distL="0" distR="0">
            <wp:extent cx="6047105" cy="36487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047105" cy="3648710"/>
                    </a:xfrm>
                    <a:prstGeom prst="rect">
                      <a:avLst/>
                    </a:prstGeom>
                    <a:noFill/>
                    <a:ln w="9525">
                      <a:noFill/>
                      <a:miter lim="800000"/>
                      <a:headEnd/>
                      <a:tailEnd/>
                    </a:ln>
                  </pic:spPr>
                </pic:pic>
              </a:graphicData>
            </a:graphic>
          </wp:inline>
        </w:drawing>
      </w:r>
    </w:p>
    <w:p w:rsidR="000457EF" w:rsidRPr="00523BC2" w:rsidRDefault="000457EF" w:rsidP="000457EF">
      <w:pPr>
        <w:widowControl w:val="0"/>
        <w:autoSpaceDE w:val="0"/>
        <w:autoSpaceDN w:val="0"/>
        <w:adjustRightInd w:val="0"/>
        <w:spacing w:after="240"/>
        <w:jc w:val="right"/>
        <w:rPr>
          <w:rFonts w:ascii="Times" w:hAnsi="Times" w:cs="Times"/>
          <w:sz w:val="20"/>
          <w:szCs w:val="20"/>
        </w:rPr>
      </w:pPr>
      <w:r w:rsidRPr="00523BC2">
        <w:rPr>
          <w:rFonts w:ascii="Times" w:hAnsi="Times" w:cs="Times"/>
          <w:sz w:val="20"/>
          <w:szCs w:val="20"/>
        </w:rPr>
        <w:t xml:space="preserve">Source : </w:t>
      </w:r>
      <w:proofErr w:type="spellStart"/>
      <w:r w:rsidRPr="00523BC2">
        <w:rPr>
          <w:rFonts w:ascii="Times" w:hAnsi="Times" w:cs="Times"/>
          <w:sz w:val="20"/>
          <w:szCs w:val="20"/>
        </w:rPr>
        <w:t>Dares</w:t>
      </w:r>
      <w:proofErr w:type="spellEnd"/>
      <w:r w:rsidRPr="00523BC2">
        <w:rPr>
          <w:rFonts w:ascii="Times" w:hAnsi="Times" w:cs="Times"/>
          <w:sz w:val="20"/>
          <w:szCs w:val="20"/>
        </w:rPr>
        <w:t xml:space="preserve">, enquête </w:t>
      </w:r>
      <w:proofErr w:type="spellStart"/>
      <w:r w:rsidRPr="00523BC2">
        <w:rPr>
          <w:rFonts w:ascii="Times" w:hAnsi="Times" w:cs="Times"/>
          <w:sz w:val="20"/>
          <w:szCs w:val="20"/>
        </w:rPr>
        <w:t>Acemo</w:t>
      </w:r>
      <w:proofErr w:type="spellEnd"/>
      <w:r w:rsidRPr="00523BC2">
        <w:rPr>
          <w:rFonts w:ascii="Times" w:hAnsi="Times" w:cs="Times"/>
          <w:sz w:val="20"/>
          <w:szCs w:val="20"/>
        </w:rPr>
        <w:t xml:space="preserve"> « Négociation et représentation des salariés ».</w:t>
      </w:r>
    </w:p>
    <w:p w:rsidR="000457EF" w:rsidRDefault="000457EF" w:rsidP="000457EF">
      <w:pPr>
        <w:rPr>
          <w:rFonts w:ascii="Arial" w:hAnsi="Arial" w:cs="Arial"/>
          <w:b/>
        </w:rPr>
      </w:pPr>
    </w:p>
    <w:p w:rsidR="000457EF" w:rsidRPr="00D859B9" w:rsidRDefault="000457EF" w:rsidP="000457EF">
      <w:pPr>
        <w:jc w:val="both"/>
        <w:rPr>
          <w:rFonts w:ascii="Times New Roman" w:hAnsi="Times New Roman"/>
          <w:bCs/>
        </w:rPr>
      </w:pPr>
      <w:r w:rsidRPr="00D859B9">
        <w:rPr>
          <w:rFonts w:ascii="Times New Roman" w:hAnsi="Times New Roman"/>
          <w:bCs/>
        </w:rPr>
        <w:t>Document 3</w:t>
      </w:r>
      <w:r>
        <w:rPr>
          <w:rFonts w:ascii="Times New Roman" w:hAnsi="Times New Roman"/>
          <w:bCs/>
        </w:rPr>
        <w:t xml:space="preserve"> Compte rendu d’une interview de Alain d’</w:t>
      </w:r>
      <w:proofErr w:type="spellStart"/>
      <w:r>
        <w:rPr>
          <w:rFonts w:ascii="Times New Roman" w:hAnsi="Times New Roman"/>
          <w:bCs/>
        </w:rPr>
        <w:t>Iribarne</w:t>
      </w:r>
      <w:proofErr w:type="spellEnd"/>
      <w:r>
        <w:rPr>
          <w:rFonts w:ascii="Times New Roman" w:hAnsi="Times New Roman"/>
          <w:bCs/>
        </w:rPr>
        <w:t xml:space="preserve">, directeur de recherche au CNRS </w:t>
      </w:r>
    </w:p>
    <w:p w:rsidR="000457EF" w:rsidRPr="00D859B9" w:rsidRDefault="000457EF" w:rsidP="000457EF">
      <w:pPr>
        <w:jc w:val="both"/>
        <w:rPr>
          <w:rFonts w:ascii="Times New Roman" w:hAnsi="Times New Roman"/>
        </w:rPr>
      </w:pPr>
      <w:r>
        <w:rPr>
          <w:rFonts w:ascii="Times New Roman" w:hAnsi="Times New Roman"/>
          <w:i/>
          <w:iCs/>
        </w:rPr>
        <w:t xml:space="preserve"> </w:t>
      </w:r>
      <w:r w:rsidRPr="00D859B9">
        <w:rPr>
          <w:rFonts w:ascii="Times New Roman" w:hAnsi="Times New Roman"/>
          <w:i/>
          <w:iCs/>
        </w:rPr>
        <w:t xml:space="preserve">En quoi l’open </w:t>
      </w:r>
      <w:proofErr w:type="spellStart"/>
      <w:r w:rsidRPr="00D859B9">
        <w:rPr>
          <w:rFonts w:ascii="Times New Roman" w:hAnsi="Times New Roman"/>
          <w:i/>
          <w:iCs/>
        </w:rPr>
        <w:t>space</w:t>
      </w:r>
      <w:proofErr w:type="spellEnd"/>
      <w:r w:rsidRPr="00D859B9">
        <w:rPr>
          <w:rFonts w:ascii="Times New Roman" w:hAnsi="Times New Roman"/>
          <w:i/>
          <w:iCs/>
        </w:rPr>
        <w:t xml:space="preserve"> pose-t-il problème ? </w:t>
      </w:r>
    </w:p>
    <w:p w:rsidR="000457EF" w:rsidRPr="00D859B9" w:rsidRDefault="000457EF" w:rsidP="000457EF">
      <w:pPr>
        <w:jc w:val="both"/>
        <w:rPr>
          <w:rFonts w:ascii="Times New Roman" w:hAnsi="Times New Roman"/>
        </w:rPr>
      </w:pPr>
      <w:r w:rsidRPr="00D859B9">
        <w:rPr>
          <w:rFonts w:ascii="Times New Roman" w:hAnsi="Times New Roman"/>
        </w:rPr>
        <w:t xml:space="preserve">Dans la tradition française, le bureau est un lieu de symbole extrêmement fort. Avoir son propre bureau fermé, c’est signe que l’on est bien placé hiérarchiquement. C’est aussi un gage de tranquillité pour travailler, et de possibilité de personnalisation, d’appropriation de son lieu de travail. A l’inverse, l’open </w:t>
      </w:r>
      <w:proofErr w:type="spellStart"/>
      <w:r w:rsidRPr="00D859B9">
        <w:rPr>
          <w:rFonts w:ascii="Times New Roman" w:hAnsi="Times New Roman"/>
        </w:rPr>
        <w:t>space</w:t>
      </w:r>
      <w:proofErr w:type="spellEnd"/>
      <w:r w:rsidRPr="00D859B9">
        <w:rPr>
          <w:rFonts w:ascii="Times New Roman" w:hAnsi="Times New Roman"/>
        </w:rPr>
        <w:t xml:space="preserve"> est un plateau, souvent de 30 à 50 personnes, sans cloison, et avec des postes de travail complètement anonymes, dépersonnalisés. </w:t>
      </w:r>
    </w:p>
    <w:p w:rsidR="000457EF" w:rsidRPr="00D859B9" w:rsidRDefault="000457EF" w:rsidP="000457EF">
      <w:pPr>
        <w:jc w:val="both"/>
        <w:rPr>
          <w:rFonts w:ascii="Times New Roman" w:hAnsi="Times New Roman"/>
        </w:rPr>
      </w:pPr>
      <w:r w:rsidRPr="00D859B9">
        <w:rPr>
          <w:rFonts w:ascii="Times New Roman" w:hAnsi="Times New Roman"/>
        </w:rPr>
        <w:t> </w:t>
      </w:r>
      <w:r w:rsidRPr="00D859B9">
        <w:rPr>
          <w:rFonts w:ascii="Times New Roman" w:hAnsi="Times New Roman"/>
          <w:i/>
          <w:iCs/>
        </w:rPr>
        <w:t xml:space="preserve">Est-ce le symbole d’un nouveau management ? </w:t>
      </w:r>
    </w:p>
    <w:p w:rsidR="000457EF" w:rsidRPr="00D859B9" w:rsidRDefault="000457EF" w:rsidP="000457EF">
      <w:pPr>
        <w:jc w:val="both"/>
        <w:rPr>
          <w:rFonts w:ascii="Times New Roman" w:hAnsi="Times New Roman"/>
        </w:rPr>
      </w:pPr>
      <w:r w:rsidRPr="00D859B9">
        <w:rPr>
          <w:rFonts w:ascii="Times New Roman" w:hAnsi="Times New Roman"/>
        </w:rPr>
        <w:t xml:space="preserve">L’open </w:t>
      </w:r>
      <w:proofErr w:type="spellStart"/>
      <w:r w:rsidRPr="00D859B9">
        <w:rPr>
          <w:rFonts w:ascii="Times New Roman" w:hAnsi="Times New Roman"/>
        </w:rPr>
        <w:t>space</w:t>
      </w:r>
      <w:proofErr w:type="spellEnd"/>
      <w:r w:rsidRPr="00D859B9">
        <w:rPr>
          <w:rFonts w:ascii="Times New Roman" w:hAnsi="Times New Roman"/>
        </w:rPr>
        <w:t xml:space="preserve"> est considéré comme étant « moderne » : cela permet une meilleure collaboration des salariés, de faciliter le travail en équipe. Mais en contrepartie, l’open </w:t>
      </w:r>
      <w:proofErr w:type="spellStart"/>
      <w:r w:rsidRPr="00D859B9">
        <w:rPr>
          <w:rFonts w:ascii="Times New Roman" w:hAnsi="Times New Roman"/>
        </w:rPr>
        <w:t>space</w:t>
      </w:r>
      <w:proofErr w:type="spellEnd"/>
      <w:r w:rsidRPr="00D859B9">
        <w:rPr>
          <w:rFonts w:ascii="Times New Roman" w:hAnsi="Times New Roman"/>
        </w:rPr>
        <w:t xml:space="preserve"> fabrique du contrôle social. La norme sociale, sous forme de « cancans », de rumeurs, est très présente dans l’entreprise, et est ainsi accentuée par l’open </w:t>
      </w:r>
      <w:proofErr w:type="spellStart"/>
      <w:r w:rsidRPr="00D859B9">
        <w:rPr>
          <w:rFonts w:ascii="Times New Roman" w:hAnsi="Times New Roman"/>
        </w:rPr>
        <w:t>space</w:t>
      </w:r>
      <w:proofErr w:type="spellEnd"/>
      <w:r w:rsidRPr="00D859B9">
        <w:rPr>
          <w:rFonts w:ascii="Times New Roman" w:hAnsi="Times New Roman"/>
        </w:rPr>
        <w:t xml:space="preserve"> Chacun se surveille, écoute les conversations des autres. La hiérarchie de l’entreprise se sert en fait de l’open </w:t>
      </w:r>
      <w:proofErr w:type="spellStart"/>
      <w:r w:rsidRPr="00D859B9">
        <w:rPr>
          <w:rFonts w:ascii="Times New Roman" w:hAnsi="Times New Roman"/>
        </w:rPr>
        <w:t>space</w:t>
      </w:r>
      <w:proofErr w:type="spellEnd"/>
      <w:r w:rsidRPr="00D859B9">
        <w:rPr>
          <w:rFonts w:ascii="Times New Roman" w:hAnsi="Times New Roman"/>
        </w:rPr>
        <w:t xml:space="preserve"> comme d’une mécanique de contrôle so</w:t>
      </w:r>
      <w:r>
        <w:rPr>
          <w:rFonts w:ascii="Times New Roman" w:hAnsi="Times New Roman"/>
        </w:rPr>
        <w:t>cial</w:t>
      </w:r>
      <w:r w:rsidRPr="00D859B9">
        <w:rPr>
          <w:rFonts w:ascii="Times New Roman" w:hAnsi="Times New Roman"/>
        </w:rPr>
        <w:t xml:space="preserve"> des salariés entre eux, ce qui lui évite de le faire elle-même.</w:t>
      </w:r>
    </w:p>
    <w:p w:rsidR="000457EF" w:rsidRDefault="000457EF" w:rsidP="000457EF">
      <w:pPr>
        <w:jc w:val="right"/>
        <w:rPr>
          <w:rFonts w:ascii="Times" w:hAnsi="Times" w:cs="Arial"/>
          <w:iCs/>
          <w:sz w:val="20"/>
          <w:szCs w:val="20"/>
        </w:rPr>
      </w:pPr>
      <w:r>
        <w:rPr>
          <w:rFonts w:ascii="Times" w:hAnsi="Times" w:cs="Arial"/>
          <w:iCs/>
          <w:sz w:val="20"/>
          <w:szCs w:val="20"/>
        </w:rPr>
        <w:t>Propos recueillis par Laure DAUSSY</w:t>
      </w:r>
    </w:p>
    <w:p w:rsidR="000457EF" w:rsidRPr="00523BC2" w:rsidRDefault="000457EF" w:rsidP="000457EF">
      <w:pPr>
        <w:jc w:val="right"/>
        <w:rPr>
          <w:rFonts w:ascii="Times" w:hAnsi="Times" w:cs="Arial"/>
          <w:sz w:val="20"/>
          <w:szCs w:val="20"/>
        </w:rPr>
      </w:pPr>
      <w:r>
        <w:rPr>
          <w:rFonts w:ascii="Times" w:hAnsi="Times" w:cs="Arial"/>
          <w:iCs/>
          <w:sz w:val="20"/>
          <w:szCs w:val="20"/>
        </w:rPr>
        <w:t>In Alain D’</w:t>
      </w:r>
      <w:proofErr w:type="spellStart"/>
      <w:r>
        <w:rPr>
          <w:rFonts w:ascii="Times" w:hAnsi="Times" w:cs="Arial"/>
          <w:iCs/>
          <w:sz w:val="20"/>
          <w:szCs w:val="20"/>
        </w:rPr>
        <w:t>Iribarne</w:t>
      </w:r>
      <w:proofErr w:type="spellEnd"/>
      <w:r>
        <w:rPr>
          <w:rFonts w:ascii="Times" w:hAnsi="Times" w:cs="Arial"/>
          <w:iCs/>
          <w:sz w:val="20"/>
          <w:szCs w:val="20"/>
        </w:rPr>
        <w:t>,</w:t>
      </w:r>
      <w:r w:rsidRPr="00523BC2">
        <w:rPr>
          <w:rFonts w:ascii="Times" w:hAnsi="Times" w:cs="Arial"/>
          <w:iCs/>
          <w:sz w:val="20"/>
          <w:szCs w:val="20"/>
        </w:rPr>
        <w:t xml:space="preserve"> </w:t>
      </w:r>
      <w:r>
        <w:rPr>
          <w:rFonts w:ascii="Times" w:hAnsi="Times" w:cs="Arial"/>
          <w:iCs/>
          <w:sz w:val="20"/>
          <w:szCs w:val="20"/>
        </w:rPr>
        <w:t>www.le</w:t>
      </w:r>
      <w:r w:rsidRPr="00523BC2">
        <w:rPr>
          <w:rFonts w:ascii="Times" w:hAnsi="Times" w:cs="Arial"/>
          <w:iCs/>
          <w:sz w:val="20"/>
          <w:szCs w:val="20"/>
        </w:rPr>
        <w:t xml:space="preserve">figaro.fr, </w:t>
      </w:r>
      <w:r>
        <w:rPr>
          <w:rFonts w:ascii="Times" w:hAnsi="Times" w:cs="Arial"/>
          <w:iCs/>
          <w:sz w:val="20"/>
          <w:szCs w:val="20"/>
        </w:rPr>
        <w:t xml:space="preserve">19 </w:t>
      </w:r>
      <w:r w:rsidRPr="00523BC2">
        <w:rPr>
          <w:rFonts w:ascii="Times" w:hAnsi="Times" w:cs="Arial"/>
          <w:iCs/>
          <w:sz w:val="20"/>
          <w:szCs w:val="20"/>
        </w:rPr>
        <w:t>nov</w:t>
      </w:r>
      <w:r>
        <w:rPr>
          <w:rFonts w:ascii="Times" w:hAnsi="Times" w:cs="Arial"/>
          <w:iCs/>
          <w:sz w:val="20"/>
          <w:szCs w:val="20"/>
        </w:rPr>
        <w:t>embre</w:t>
      </w:r>
      <w:r w:rsidRPr="00523BC2">
        <w:rPr>
          <w:rFonts w:ascii="Times" w:hAnsi="Times" w:cs="Arial"/>
          <w:iCs/>
          <w:sz w:val="20"/>
          <w:szCs w:val="20"/>
        </w:rPr>
        <w:t xml:space="preserve"> 2008</w:t>
      </w:r>
    </w:p>
    <w:p w:rsidR="000457EF" w:rsidRPr="00D859B9" w:rsidRDefault="000457EF" w:rsidP="000457EF">
      <w:pPr>
        <w:rPr>
          <w:rFonts w:ascii="Arial" w:hAnsi="Arial" w:cs="Arial"/>
          <w:b/>
        </w:rPr>
      </w:pPr>
    </w:p>
    <w:p w:rsidR="000457EF" w:rsidRDefault="000457EF" w:rsidP="000457EF"/>
    <w:p w:rsidR="00425DCA" w:rsidRDefault="00425DCA" w:rsidP="000457EF"/>
    <w:p w:rsidR="000457EF" w:rsidRDefault="00EE7B1C" w:rsidP="000457EF">
      <w:r>
        <w:br w:type="page"/>
      </w:r>
    </w:p>
    <w:p w:rsidR="000457EF" w:rsidRDefault="000457EF" w:rsidP="000457EF"/>
    <w:p w:rsidR="000457EF" w:rsidRPr="003F7C5C" w:rsidRDefault="000457EF">
      <w:pPr>
        <w:rPr>
          <w:rFonts w:ascii="Times New Roman" w:hAnsi="Times New Roman"/>
        </w:rPr>
      </w:pPr>
      <w:r w:rsidRPr="003F7C5C">
        <w:rPr>
          <w:rFonts w:ascii="Times New Roman" w:hAnsi="Times New Roman"/>
        </w:rPr>
        <w:t>Document 4</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53"/>
        <w:gridCol w:w="1363"/>
        <w:gridCol w:w="1189"/>
        <w:gridCol w:w="1134"/>
        <w:gridCol w:w="992"/>
        <w:gridCol w:w="1276"/>
      </w:tblGrid>
      <w:tr w:rsidR="004E0D7F" w:rsidRPr="00F6543E" w:rsidTr="00F6543E">
        <w:tc>
          <w:tcPr>
            <w:tcW w:w="3828" w:type="dxa"/>
            <w:gridSpan w:val="2"/>
            <w:vMerge w:val="restart"/>
            <w:shd w:val="clear" w:color="auto" w:fill="auto"/>
          </w:tcPr>
          <w:p w:rsidR="000457EF" w:rsidRPr="00F6543E" w:rsidRDefault="000457EF" w:rsidP="00F6543E">
            <w:pPr>
              <w:jc w:val="center"/>
              <w:rPr>
                <w:sz w:val="18"/>
              </w:rPr>
            </w:pPr>
          </w:p>
          <w:p w:rsidR="000457EF" w:rsidRPr="00F6543E" w:rsidRDefault="000457EF" w:rsidP="00F6543E">
            <w:pPr>
              <w:jc w:val="center"/>
              <w:rPr>
                <w:sz w:val="18"/>
              </w:rPr>
            </w:pPr>
            <w:r w:rsidRPr="00F6543E">
              <w:rPr>
                <w:sz w:val="18"/>
              </w:rPr>
              <w:t>(en %)</w:t>
            </w:r>
          </w:p>
        </w:tc>
        <w:tc>
          <w:tcPr>
            <w:tcW w:w="5954" w:type="dxa"/>
            <w:gridSpan w:val="5"/>
            <w:shd w:val="clear" w:color="auto" w:fill="auto"/>
          </w:tcPr>
          <w:p w:rsidR="000457EF" w:rsidRPr="00F6543E" w:rsidRDefault="000457EF">
            <w:pPr>
              <w:rPr>
                <w:sz w:val="18"/>
              </w:rPr>
            </w:pPr>
            <w:r w:rsidRPr="00F6543E">
              <w:rPr>
                <w:sz w:val="18"/>
              </w:rPr>
              <w:t>Motifs des grèves</w:t>
            </w:r>
          </w:p>
        </w:tc>
      </w:tr>
      <w:tr w:rsidR="004E0D7F" w:rsidRPr="00F6543E" w:rsidTr="00F6543E">
        <w:tc>
          <w:tcPr>
            <w:tcW w:w="3828" w:type="dxa"/>
            <w:gridSpan w:val="2"/>
            <w:vMerge/>
            <w:shd w:val="clear" w:color="auto" w:fill="auto"/>
          </w:tcPr>
          <w:p w:rsidR="000457EF" w:rsidRPr="00F6543E" w:rsidRDefault="000457EF">
            <w:pPr>
              <w:rPr>
                <w:sz w:val="18"/>
              </w:rPr>
            </w:pPr>
          </w:p>
        </w:tc>
        <w:tc>
          <w:tcPr>
            <w:tcW w:w="4678" w:type="dxa"/>
            <w:gridSpan w:val="4"/>
            <w:shd w:val="clear" w:color="auto" w:fill="auto"/>
          </w:tcPr>
          <w:p w:rsidR="000457EF" w:rsidRPr="00F6543E" w:rsidRDefault="000457EF">
            <w:pPr>
              <w:rPr>
                <w:sz w:val="18"/>
              </w:rPr>
            </w:pPr>
            <w:r w:rsidRPr="00F6543E">
              <w:rPr>
                <w:sz w:val="18"/>
              </w:rPr>
              <w:t>Mots d’ordres internes aux entreprises</w:t>
            </w:r>
          </w:p>
        </w:tc>
        <w:tc>
          <w:tcPr>
            <w:tcW w:w="1276" w:type="dxa"/>
            <w:vMerge w:val="restart"/>
            <w:shd w:val="clear" w:color="auto" w:fill="auto"/>
          </w:tcPr>
          <w:p w:rsidR="000457EF" w:rsidRPr="00F6543E" w:rsidRDefault="000457EF" w:rsidP="000457EF">
            <w:pPr>
              <w:rPr>
                <w:sz w:val="18"/>
              </w:rPr>
            </w:pPr>
            <w:r w:rsidRPr="00F6543E">
              <w:rPr>
                <w:sz w:val="18"/>
              </w:rPr>
              <w:t>Mots d’ordres externes aux entreprises</w:t>
            </w:r>
          </w:p>
        </w:tc>
      </w:tr>
      <w:tr w:rsidR="004E0D7F" w:rsidRPr="00F6543E" w:rsidTr="00F6543E">
        <w:tc>
          <w:tcPr>
            <w:tcW w:w="3828" w:type="dxa"/>
            <w:gridSpan w:val="2"/>
            <w:vMerge/>
            <w:shd w:val="clear" w:color="auto" w:fill="auto"/>
          </w:tcPr>
          <w:p w:rsidR="000457EF" w:rsidRPr="00F6543E" w:rsidRDefault="000457EF">
            <w:pPr>
              <w:rPr>
                <w:sz w:val="18"/>
              </w:rPr>
            </w:pPr>
          </w:p>
        </w:tc>
        <w:tc>
          <w:tcPr>
            <w:tcW w:w="1363" w:type="dxa"/>
            <w:shd w:val="clear" w:color="auto" w:fill="auto"/>
          </w:tcPr>
          <w:p w:rsidR="000457EF" w:rsidRPr="00F6543E" w:rsidRDefault="000457EF">
            <w:pPr>
              <w:rPr>
                <w:sz w:val="18"/>
              </w:rPr>
            </w:pPr>
            <w:r w:rsidRPr="00F6543E">
              <w:rPr>
                <w:sz w:val="18"/>
              </w:rPr>
              <w:t>Dont rémunérations</w:t>
            </w:r>
          </w:p>
        </w:tc>
        <w:tc>
          <w:tcPr>
            <w:tcW w:w="1189" w:type="dxa"/>
            <w:shd w:val="clear" w:color="auto" w:fill="auto"/>
          </w:tcPr>
          <w:p w:rsidR="000457EF" w:rsidRPr="00F6543E" w:rsidRDefault="000457EF">
            <w:pPr>
              <w:rPr>
                <w:sz w:val="18"/>
              </w:rPr>
            </w:pPr>
            <w:r w:rsidRPr="00F6543E">
              <w:rPr>
                <w:sz w:val="18"/>
              </w:rPr>
              <w:t>Dont emploi</w:t>
            </w:r>
          </w:p>
        </w:tc>
        <w:tc>
          <w:tcPr>
            <w:tcW w:w="1134" w:type="dxa"/>
            <w:shd w:val="clear" w:color="auto" w:fill="auto"/>
          </w:tcPr>
          <w:p w:rsidR="000457EF" w:rsidRPr="00F6543E" w:rsidRDefault="000457EF">
            <w:pPr>
              <w:rPr>
                <w:sz w:val="18"/>
              </w:rPr>
            </w:pPr>
            <w:r w:rsidRPr="00F6543E">
              <w:rPr>
                <w:sz w:val="18"/>
              </w:rPr>
              <w:t>Dont conditions de travail</w:t>
            </w:r>
          </w:p>
        </w:tc>
        <w:tc>
          <w:tcPr>
            <w:tcW w:w="992" w:type="dxa"/>
            <w:shd w:val="clear" w:color="auto" w:fill="auto"/>
          </w:tcPr>
          <w:p w:rsidR="000457EF" w:rsidRPr="00F6543E" w:rsidRDefault="000457EF">
            <w:pPr>
              <w:rPr>
                <w:sz w:val="18"/>
              </w:rPr>
            </w:pPr>
            <w:r w:rsidRPr="00F6543E">
              <w:rPr>
                <w:sz w:val="18"/>
              </w:rPr>
              <w:t>Dont temps de travail</w:t>
            </w:r>
          </w:p>
        </w:tc>
        <w:tc>
          <w:tcPr>
            <w:tcW w:w="1276" w:type="dxa"/>
            <w:vMerge/>
            <w:shd w:val="clear" w:color="auto" w:fill="auto"/>
          </w:tcPr>
          <w:p w:rsidR="000457EF" w:rsidRPr="00F6543E" w:rsidRDefault="000457EF">
            <w:pPr>
              <w:rPr>
                <w:sz w:val="18"/>
              </w:rPr>
            </w:pPr>
          </w:p>
        </w:tc>
      </w:tr>
      <w:tr w:rsidR="004E0D7F" w:rsidRPr="00F6543E" w:rsidTr="00F6543E">
        <w:tc>
          <w:tcPr>
            <w:tcW w:w="675" w:type="dxa"/>
            <w:vMerge w:val="restart"/>
            <w:shd w:val="clear" w:color="auto" w:fill="auto"/>
          </w:tcPr>
          <w:p w:rsidR="000457EF" w:rsidRPr="00F6543E" w:rsidRDefault="000457EF">
            <w:pPr>
              <w:rPr>
                <w:sz w:val="18"/>
              </w:rPr>
            </w:pPr>
            <w:r w:rsidRPr="00F6543E">
              <w:rPr>
                <w:sz w:val="18"/>
              </w:rPr>
              <w:t>2011</w:t>
            </w:r>
          </w:p>
        </w:tc>
        <w:tc>
          <w:tcPr>
            <w:tcW w:w="3153" w:type="dxa"/>
            <w:shd w:val="clear" w:color="auto" w:fill="auto"/>
          </w:tcPr>
          <w:p w:rsidR="000457EF" w:rsidRPr="00F6543E" w:rsidRDefault="000457EF">
            <w:pPr>
              <w:rPr>
                <w:sz w:val="18"/>
              </w:rPr>
            </w:pPr>
            <w:r w:rsidRPr="00F6543E">
              <w:rPr>
                <w:sz w:val="18"/>
              </w:rPr>
              <w:t>Proportion d’entreprises ayant connu une grève</w:t>
            </w:r>
          </w:p>
        </w:tc>
        <w:tc>
          <w:tcPr>
            <w:tcW w:w="1363" w:type="dxa"/>
            <w:shd w:val="clear" w:color="auto" w:fill="auto"/>
          </w:tcPr>
          <w:p w:rsidR="000457EF" w:rsidRPr="00F6543E" w:rsidRDefault="000457EF">
            <w:pPr>
              <w:rPr>
                <w:sz w:val="18"/>
              </w:rPr>
            </w:pPr>
            <w:r w:rsidRPr="00F6543E">
              <w:rPr>
                <w:sz w:val="18"/>
              </w:rPr>
              <w:t>53</w:t>
            </w:r>
          </w:p>
        </w:tc>
        <w:tc>
          <w:tcPr>
            <w:tcW w:w="1189" w:type="dxa"/>
            <w:shd w:val="clear" w:color="auto" w:fill="auto"/>
          </w:tcPr>
          <w:p w:rsidR="000457EF" w:rsidRPr="00F6543E" w:rsidRDefault="000457EF">
            <w:pPr>
              <w:rPr>
                <w:sz w:val="18"/>
              </w:rPr>
            </w:pPr>
            <w:r w:rsidRPr="00F6543E">
              <w:rPr>
                <w:sz w:val="18"/>
              </w:rPr>
              <w:t>14</w:t>
            </w:r>
          </w:p>
        </w:tc>
        <w:tc>
          <w:tcPr>
            <w:tcW w:w="1134" w:type="dxa"/>
            <w:shd w:val="clear" w:color="auto" w:fill="auto"/>
          </w:tcPr>
          <w:p w:rsidR="000457EF" w:rsidRPr="00F6543E" w:rsidRDefault="000457EF">
            <w:pPr>
              <w:rPr>
                <w:sz w:val="18"/>
              </w:rPr>
            </w:pPr>
            <w:r w:rsidRPr="00F6543E">
              <w:rPr>
                <w:sz w:val="18"/>
              </w:rPr>
              <w:t>21</w:t>
            </w:r>
          </w:p>
        </w:tc>
        <w:tc>
          <w:tcPr>
            <w:tcW w:w="992" w:type="dxa"/>
            <w:shd w:val="clear" w:color="auto" w:fill="auto"/>
          </w:tcPr>
          <w:p w:rsidR="000457EF" w:rsidRPr="00F6543E" w:rsidRDefault="004E0D7F">
            <w:pPr>
              <w:rPr>
                <w:sz w:val="18"/>
              </w:rPr>
            </w:pPr>
            <w:r w:rsidRPr="00F6543E">
              <w:rPr>
                <w:sz w:val="18"/>
              </w:rPr>
              <w:t>5</w:t>
            </w:r>
          </w:p>
        </w:tc>
        <w:tc>
          <w:tcPr>
            <w:tcW w:w="1276" w:type="dxa"/>
            <w:shd w:val="clear" w:color="auto" w:fill="auto"/>
          </w:tcPr>
          <w:p w:rsidR="000457EF" w:rsidRPr="00F6543E" w:rsidRDefault="004E0D7F">
            <w:pPr>
              <w:rPr>
                <w:sz w:val="18"/>
              </w:rPr>
            </w:pPr>
            <w:r w:rsidRPr="00F6543E">
              <w:rPr>
                <w:sz w:val="18"/>
              </w:rPr>
              <w:t>28</w:t>
            </w:r>
          </w:p>
        </w:tc>
      </w:tr>
      <w:tr w:rsidR="004E0D7F" w:rsidRPr="00F6543E" w:rsidTr="00F6543E">
        <w:tc>
          <w:tcPr>
            <w:tcW w:w="675" w:type="dxa"/>
            <w:vMerge/>
            <w:shd w:val="clear" w:color="auto" w:fill="auto"/>
          </w:tcPr>
          <w:p w:rsidR="000457EF" w:rsidRPr="00F6543E" w:rsidRDefault="000457EF">
            <w:pPr>
              <w:rPr>
                <w:sz w:val="18"/>
              </w:rPr>
            </w:pPr>
          </w:p>
        </w:tc>
        <w:tc>
          <w:tcPr>
            <w:tcW w:w="3153" w:type="dxa"/>
            <w:shd w:val="clear" w:color="auto" w:fill="auto"/>
          </w:tcPr>
          <w:p w:rsidR="000457EF" w:rsidRPr="00F6543E" w:rsidRDefault="000457EF" w:rsidP="000457EF">
            <w:pPr>
              <w:rPr>
                <w:sz w:val="18"/>
              </w:rPr>
            </w:pPr>
            <w:r w:rsidRPr="00F6543E">
              <w:rPr>
                <w:sz w:val="18"/>
              </w:rPr>
              <w:t>Proportion d’entreprises concernées</w:t>
            </w:r>
          </w:p>
        </w:tc>
        <w:tc>
          <w:tcPr>
            <w:tcW w:w="1363" w:type="dxa"/>
            <w:shd w:val="clear" w:color="auto" w:fill="auto"/>
          </w:tcPr>
          <w:p w:rsidR="000457EF" w:rsidRPr="00F6543E" w:rsidRDefault="000457EF">
            <w:pPr>
              <w:rPr>
                <w:sz w:val="18"/>
              </w:rPr>
            </w:pPr>
            <w:r w:rsidRPr="00F6543E">
              <w:rPr>
                <w:sz w:val="18"/>
              </w:rPr>
              <w:t>0,9</w:t>
            </w:r>
          </w:p>
        </w:tc>
        <w:tc>
          <w:tcPr>
            <w:tcW w:w="1189" w:type="dxa"/>
            <w:shd w:val="clear" w:color="auto" w:fill="auto"/>
          </w:tcPr>
          <w:p w:rsidR="000457EF" w:rsidRPr="00F6543E" w:rsidRDefault="000457EF">
            <w:pPr>
              <w:rPr>
                <w:sz w:val="18"/>
              </w:rPr>
            </w:pPr>
            <w:r w:rsidRPr="00F6543E">
              <w:rPr>
                <w:sz w:val="18"/>
              </w:rPr>
              <w:t>0,4</w:t>
            </w:r>
          </w:p>
        </w:tc>
        <w:tc>
          <w:tcPr>
            <w:tcW w:w="1134" w:type="dxa"/>
            <w:shd w:val="clear" w:color="auto" w:fill="auto"/>
          </w:tcPr>
          <w:p w:rsidR="000457EF" w:rsidRPr="00F6543E" w:rsidRDefault="000457EF">
            <w:pPr>
              <w:rPr>
                <w:sz w:val="18"/>
              </w:rPr>
            </w:pPr>
            <w:r w:rsidRPr="00F6543E">
              <w:rPr>
                <w:sz w:val="18"/>
              </w:rPr>
              <w:t>0,3</w:t>
            </w:r>
          </w:p>
        </w:tc>
        <w:tc>
          <w:tcPr>
            <w:tcW w:w="992" w:type="dxa"/>
            <w:shd w:val="clear" w:color="auto" w:fill="auto"/>
          </w:tcPr>
          <w:p w:rsidR="000457EF" w:rsidRPr="00F6543E" w:rsidRDefault="004E0D7F">
            <w:pPr>
              <w:rPr>
                <w:sz w:val="18"/>
              </w:rPr>
            </w:pPr>
            <w:r w:rsidRPr="00F6543E">
              <w:rPr>
                <w:sz w:val="18"/>
              </w:rPr>
              <w:t>0,1</w:t>
            </w:r>
          </w:p>
        </w:tc>
        <w:tc>
          <w:tcPr>
            <w:tcW w:w="1276" w:type="dxa"/>
            <w:shd w:val="clear" w:color="auto" w:fill="auto"/>
          </w:tcPr>
          <w:p w:rsidR="000457EF" w:rsidRPr="00F6543E" w:rsidRDefault="004E0D7F">
            <w:pPr>
              <w:rPr>
                <w:sz w:val="18"/>
              </w:rPr>
            </w:pPr>
            <w:r w:rsidRPr="00F6543E">
              <w:rPr>
                <w:sz w:val="18"/>
              </w:rPr>
              <w:t>0,5</w:t>
            </w:r>
          </w:p>
        </w:tc>
      </w:tr>
      <w:tr w:rsidR="004E0D7F" w:rsidRPr="00F6543E" w:rsidTr="00F6543E">
        <w:tc>
          <w:tcPr>
            <w:tcW w:w="675" w:type="dxa"/>
            <w:vMerge w:val="restart"/>
            <w:shd w:val="clear" w:color="auto" w:fill="auto"/>
          </w:tcPr>
          <w:p w:rsidR="000457EF" w:rsidRPr="00F6543E" w:rsidRDefault="000457EF">
            <w:pPr>
              <w:rPr>
                <w:sz w:val="18"/>
              </w:rPr>
            </w:pPr>
            <w:r w:rsidRPr="00F6543E">
              <w:rPr>
                <w:sz w:val="18"/>
              </w:rPr>
              <w:t>2010</w:t>
            </w:r>
          </w:p>
        </w:tc>
        <w:tc>
          <w:tcPr>
            <w:tcW w:w="3153" w:type="dxa"/>
            <w:shd w:val="clear" w:color="auto" w:fill="auto"/>
          </w:tcPr>
          <w:p w:rsidR="000457EF" w:rsidRPr="00F6543E" w:rsidRDefault="000457EF" w:rsidP="000457EF">
            <w:pPr>
              <w:rPr>
                <w:sz w:val="18"/>
              </w:rPr>
            </w:pPr>
            <w:r w:rsidRPr="00F6543E">
              <w:rPr>
                <w:sz w:val="18"/>
              </w:rPr>
              <w:t>Proportion d’entreprises ayant connu une grève</w:t>
            </w:r>
          </w:p>
        </w:tc>
        <w:tc>
          <w:tcPr>
            <w:tcW w:w="1363" w:type="dxa"/>
            <w:shd w:val="clear" w:color="auto" w:fill="auto"/>
          </w:tcPr>
          <w:p w:rsidR="000457EF" w:rsidRPr="00F6543E" w:rsidRDefault="000457EF">
            <w:pPr>
              <w:rPr>
                <w:sz w:val="18"/>
              </w:rPr>
            </w:pPr>
            <w:r w:rsidRPr="00F6543E">
              <w:rPr>
                <w:sz w:val="18"/>
              </w:rPr>
              <w:t>26</w:t>
            </w:r>
          </w:p>
        </w:tc>
        <w:tc>
          <w:tcPr>
            <w:tcW w:w="1189" w:type="dxa"/>
            <w:shd w:val="clear" w:color="auto" w:fill="auto"/>
          </w:tcPr>
          <w:p w:rsidR="000457EF" w:rsidRPr="00F6543E" w:rsidRDefault="000457EF">
            <w:pPr>
              <w:rPr>
                <w:sz w:val="18"/>
              </w:rPr>
            </w:pPr>
            <w:r w:rsidRPr="00F6543E">
              <w:rPr>
                <w:sz w:val="18"/>
              </w:rPr>
              <w:t>9</w:t>
            </w:r>
          </w:p>
        </w:tc>
        <w:tc>
          <w:tcPr>
            <w:tcW w:w="1134" w:type="dxa"/>
            <w:shd w:val="clear" w:color="auto" w:fill="auto"/>
          </w:tcPr>
          <w:p w:rsidR="000457EF" w:rsidRPr="00F6543E" w:rsidRDefault="000457EF">
            <w:pPr>
              <w:rPr>
                <w:sz w:val="18"/>
              </w:rPr>
            </w:pPr>
            <w:r w:rsidRPr="00F6543E">
              <w:rPr>
                <w:sz w:val="18"/>
              </w:rPr>
              <w:t>11</w:t>
            </w:r>
          </w:p>
        </w:tc>
        <w:tc>
          <w:tcPr>
            <w:tcW w:w="992" w:type="dxa"/>
            <w:shd w:val="clear" w:color="auto" w:fill="auto"/>
          </w:tcPr>
          <w:p w:rsidR="000457EF" w:rsidRPr="00F6543E" w:rsidRDefault="004E0D7F">
            <w:pPr>
              <w:rPr>
                <w:sz w:val="18"/>
              </w:rPr>
            </w:pPr>
            <w:r w:rsidRPr="00F6543E">
              <w:rPr>
                <w:sz w:val="18"/>
              </w:rPr>
              <w:t>4</w:t>
            </w:r>
          </w:p>
        </w:tc>
        <w:tc>
          <w:tcPr>
            <w:tcW w:w="1276" w:type="dxa"/>
            <w:shd w:val="clear" w:color="auto" w:fill="auto"/>
          </w:tcPr>
          <w:p w:rsidR="000457EF" w:rsidRPr="00F6543E" w:rsidRDefault="004E0D7F">
            <w:pPr>
              <w:rPr>
                <w:sz w:val="18"/>
              </w:rPr>
            </w:pPr>
            <w:r w:rsidRPr="00F6543E">
              <w:rPr>
                <w:sz w:val="18"/>
              </w:rPr>
              <w:t>65</w:t>
            </w:r>
          </w:p>
        </w:tc>
      </w:tr>
      <w:tr w:rsidR="004E0D7F" w:rsidRPr="00F6543E" w:rsidTr="00F6543E">
        <w:tc>
          <w:tcPr>
            <w:tcW w:w="675" w:type="dxa"/>
            <w:vMerge/>
            <w:shd w:val="clear" w:color="auto" w:fill="auto"/>
          </w:tcPr>
          <w:p w:rsidR="000457EF" w:rsidRPr="00F6543E" w:rsidRDefault="000457EF">
            <w:pPr>
              <w:rPr>
                <w:sz w:val="18"/>
              </w:rPr>
            </w:pPr>
          </w:p>
        </w:tc>
        <w:tc>
          <w:tcPr>
            <w:tcW w:w="3153" w:type="dxa"/>
            <w:shd w:val="clear" w:color="auto" w:fill="auto"/>
          </w:tcPr>
          <w:p w:rsidR="000457EF" w:rsidRPr="00F6543E" w:rsidRDefault="000457EF" w:rsidP="000457EF">
            <w:pPr>
              <w:rPr>
                <w:sz w:val="18"/>
              </w:rPr>
            </w:pPr>
            <w:r w:rsidRPr="00F6543E">
              <w:rPr>
                <w:sz w:val="18"/>
              </w:rPr>
              <w:t>Proportion d’entreprises concernées</w:t>
            </w:r>
          </w:p>
        </w:tc>
        <w:tc>
          <w:tcPr>
            <w:tcW w:w="1363" w:type="dxa"/>
            <w:shd w:val="clear" w:color="auto" w:fill="auto"/>
          </w:tcPr>
          <w:p w:rsidR="000457EF" w:rsidRPr="00F6543E" w:rsidRDefault="000457EF">
            <w:pPr>
              <w:rPr>
                <w:sz w:val="18"/>
              </w:rPr>
            </w:pPr>
            <w:r w:rsidRPr="00F6543E">
              <w:rPr>
                <w:sz w:val="18"/>
              </w:rPr>
              <w:t>0,8</w:t>
            </w:r>
          </w:p>
        </w:tc>
        <w:tc>
          <w:tcPr>
            <w:tcW w:w="1189" w:type="dxa"/>
            <w:shd w:val="clear" w:color="auto" w:fill="auto"/>
          </w:tcPr>
          <w:p w:rsidR="000457EF" w:rsidRPr="00F6543E" w:rsidRDefault="000457EF">
            <w:pPr>
              <w:rPr>
                <w:sz w:val="18"/>
              </w:rPr>
            </w:pPr>
            <w:r w:rsidRPr="00F6543E">
              <w:rPr>
                <w:sz w:val="18"/>
              </w:rPr>
              <w:t>0,3</w:t>
            </w:r>
          </w:p>
        </w:tc>
        <w:tc>
          <w:tcPr>
            <w:tcW w:w="1134" w:type="dxa"/>
            <w:shd w:val="clear" w:color="auto" w:fill="auto"/>
          </w:tcPr>
          <w:p w:rsidR="000457EF" w:rsidRPr="00F6543E" w:rsidRDefault="000457EF">
            <w:pPr>
              <w:rPr>
                <w:sz w:val="18"/>
              </w:rPr>
            </w:pPr>
            <w:r w:rsidRPr="00F6543E">
              <w:rPr>
                <w:sz w:val="18"/>
              </w:rPr>
              <w:t>0,3</w:t>
            </w:r>
          </w:p>
        </w:tc>
        <w:tc>
          <w:tcPr>
            <w:tcW w:w="992" w:type="dxa"/>
            <w:shd w:val="clear" w:color="auto" w:fill="auto"/>
          </w:tcPr>
          <w:p w:rsidR="000457EF" w:rsidRPr="00F6543E" w:rsidRDefault="004E0D7F">
            <w:pPr>
              <w:rPr>
                <w:sz w:val="18"/>
              </w:rPr>
            </w:pPr>
            <w:r w:rsidRPr="00F6543E">
              <w:rPr>
                <w:sz w:val="18"/>
              </w:rPr>
              <w:t>0,1</w:t>
            </w:r>
          </w:p>
        </w:tc>
        <w:tc>
          <w:tcPr>
            <w:tcW w:w="1276" w:type="dxa"/>
            <w:shd w:val="clear" w:color="auto" w:fill="auto"/>
          </w:tcPr>
          <w:p w:rsidR="000457EF" w:rsidRPr="00F6543E" w:rsidRDefault="004E0D7F">
            <w:pPr>
              <w:rPr>
                <w:sz w:val="18"/>
              </w:rPr>
            </w:pPr>
            <w:r w:rsidRPr="00F6543E">
              <w:rPr>
                <w:sz w:val="18"/>
              </w:rPr>
              <w:t>2,1</w:t>
            </w:r>
          </w:p>
        </w:tc>
      </w:tr>
      <w:tr w:rsidR="004E0D7F" w:rsidRPr="00F6543E" w:rsidTr="00F6543E">
        <w:tc>
          <w:tcPr>
            <w:tcW w:w="675" w:type="dxa"/>
            <w:vMerge w:val="restart"/>
            <w:shd w:val="clear" w:color="auto" w:fill="auto"/>
          </w:tcPr>
          <w:p w:rsidR="000457EF" w:rsidRPr="00F6543E" w:rsidRDefault="000457EF">
            <w:pPr>
              <w:rPr>
                <w:sz w:val="18"/>
              </w:rPr>
            </w:pPr>
            <w:r w:rsidRPr="00F6543E">
              <w:rPr>
                <w:sz w:val="18"/>
              </w:rPr>
              <w:t>2009</w:t>
            </w:r>
          </w:p>
        </w:tc>
        <w:tc>
          <w:tcPr>
            <w:tcW w:w="3153" w:type="dxa"/>
            <w:shd w:val="clear" w:color="auto" w:fill="auto"/>
          </w:tcPr>
          <w:p w:rsidR="000457EF" w:rsidRPr="00F6543E" w:rsidRDefault="000457EF" w:rsidP="000457EF">
            <w:pPr>
              <w:rPr>
                <w:sz w:val="18"/>
              </w:rPr>
            </w:pPr>
            <w:r w:rsidRPr="00F6543E">
              <w:rPr>
                <w:sz w:val="18"/>
              </w:rPr>
              <w:t>Proportion d’entreprises ayant connu une grève</w:t>
            </w:r>
          </w:p>
        </w:tc>
        <w:tc>
          <w:tcPr>
            <w:tcW w:w="1363" w:type="dxa"/>
            <w:shd w:val="clear" w:color="auto" w:fill="auto"/>
          </w:tcPr>
          <w:p w:rsidR="000457EF" w:rsidRPr="00F6543E" w:rsidRDefault="000457EF">
            <w:pPr>
              <w:rPr>
                <w:sz w:val="18"/>
              </w:rPr>
            </w:pPr>
            <w:r w:rsidRPr="00F6543E">
              <w:rPr>
                <w:sz w:val="18"/>
              </w:rPr>
              <w:t>39</w:t>
            </w:r>
          </w:p>
        </w:tc>
        <w:tc>
          <w:tcPr>
            <w:tcW w:w="1189" w:type="dxa"/>
            <w:shd w:val="clear" w:color="auto" w:fill="auto"/>
          </w:tcPr>
          <w:p w:rsidR="000457EF" w:rsidRPr="00F6543E" w:rsidRDefault="000457EF">
            <w:pPr>
              <w:rPr>
                <w:sz w:val="18"/>
              </w:rPr>
            </w:pPr>
            <w:r w:rsidRPr="00F6543E">
              <w:rPr>
                <w:sz w:val="18"/>
              </w:rPr>
              <w:t>29</w:t>
            </w:r>
          </w:p>
        </w:tc>
        <w:tc>
          <w:tcPr>
            <w:tcW w:w="1134" w:type="dxa"/>
            <w:shd w:val="clear" w:color="auto" w:fill="auto"/>
          </w:tcPr>
          <w:p w:rsidR="000457EF" w:rsidRPr="00F6543E" w:rsidRDefault="000457EF">
            <w:pPr>
              <w:rPr>
                <w:sz w:val="18"/>
              </w:rPr>
            </w:pPr>
            <w:r w:rsidRPr="00F6543E">
              <w:rPr>
                <w:sz w:val="18"/>
              </w:rPr>
              <w:t>14</w:t>
            </w:r>
          </w:p>
        </w:tc>
        <w:tc>
          <w:tcPr>
            <w:tcW w:w="992" w:type="dxa"/>
            <w:shd w:val="clear" w:color="auto" w:fill="auto"/>
          </w:tcPr>
          <w:p w:rsidR="000457EF" w:rsidRPr="00F6543E" w:rsidRDefault="004E0D7F">
            <w:pPr>
              <w:rPr>
                <w:sz w:val="18"/>
              </w:rPr>
            </w:pPr>
            <w:r w:rsidRPr="00F6543E">
              <w:rPr>
                <w:sz w:val="18"/>
              </w:rPr>
              <w:t>5</w:t>
            </w:r>
          </w:p>
        </w:tc>
        <w:tc>
          <w:tcPr>
            <w:tcW w:w="1276" w:type="dxa"/>
            <w:shd w:val="clear" w:color="auto" w:fill="auto"/>
          </w:tcPr>
          <w:p w:rsidR="000457EF" w:rsidRPr="00F6543E" w:rsidRDefault="004E0D7F">
            <w:pPr>
              <w:rPr>
                <w:sz w:val="18"/>
              </w:rPr>
            </w:pPr>
            <w:r w:rsidRPr="00F6543E">
              <w:rPr>
                <w:sz w:val="18"/>
              </w:rPr>
              <w:t>30</w:t>
            </w:r>
          </w:p>
        </w:tc>
      </w:tr>
      <w:tr w:rsidR="004E0D7F" w:rsidRPr="00F6543E" w:rsidTr="00F6543E">
        <w:tc>
          <w:tcPr>
            <w:tcW w:w="675" w:type="dxa"/>
            <w:vMerge/>
            <w:shd w:val="clear" w:color="auto" w:fill="auto"/>
          </w:tcPr>
          <w:p w:rsidR="000457EF" w:rsidRPr="00F6543E" w:rsidRDefault="000457EF">
            <w:pPr>
              <w:rPr>
                <w:sz w:val="18"/>
              </w:rPr>
            </w:pPr>
          </w:p>
        </w:tc>
        <w:tc>
          <w:tcPr>
            <w:tcW w:w="3153" w:type="dxa"/>
            <w:shd w:val="clear" w:color="auto" w:fill="auto"/>
          </w:tcPr>
          <w:p w:rsidR="000457EF" w:rsidRPr="00F6543E" w:rsidRDefault="000457EF">
            <w:pPr>
              <w:rPr>
                <w:sz w:val="18"/>
              </w:rPr>
            </w:pPr>
            <w:r w:rsidRPr="00F6543E">
              <w:rPr>
                <w:sz w:val="18"/>
              </w:rPr>
              <w:t>Proportion d’entreprises concernées</w:t>
            </w:r>
          </w:p>
        </w:tc>
        <w:tc>
          <w:tcPr>
            <w:tcW w:w="1363" w:type="dxa"/>
            <w:shd w:val="clear" w:color="auto" w:fill="auto"/>
          </w:tcPr>
          <w:p w:rsidR="000457EF" w:rsidRPr="00F6543E" w:rsidRDefault="000457EF">
            <w:pPr>
              <w:rPr>
                <w:sz w:val="18"/>
              </w:rPr>
            </w:pPr>
            <w:r w:rsidRPr="00F6543E">
              <w:rPr>
                <w:sz w:val="18"/>
              </w:rPr>
              <w:t>0,9</w:t>
            </w:r>
          </w:p>
        </w:tc>
        <w:tc>
          <w:tcPr>
            <w:tcW w:w="1189" w:type="dxa"/>
            <w:shd w:val="clear" w:color="auto" w:fill="auto"/>
          </w:tcPr>
          <w:p w:rsidR="000457EF" w:rsidRPr="00F6543E" w:rsidRDefault="000457EF">
            <w:pPr>
              <w:rPr>
                <w:sz w:val="18"/>
              </w:rPr>
            </w:pPr>
            <w:r w:rsidRPr="00F6543E">
              <w:rPr>
                <w:sz w:val="18"/>
              </w:rPr>
              <w:t>0,6</w:t>
            </w:r>
          </w:p>
        </w:tc>
        <w:tc>
          <w:tcPr>
            <w:tcW w:w="1134" w:type="dxa"/>
            <w:shd w:val="clear" w:color="auto" w:fill="auto"/>
          </w:tcPr>
          <w:p w:rsidR="000457EF" w:rsidRPr="00F6543E" w:rsidRDefault="000457EF">
            <w:pPr>
              <w:rPr>
                <w:sz w:val="18"/>
              </w:rPr>
            </w:pPr>
            <w:r w:rsidRPr="00F6543E">
              <w:rPr>
                <w:sz w:val="18"/>
              </w:rPr>
              <w:t>0,3</w:t>
            </w:r>
          </w:p>
        </w:tc>
        <w:tc>
          <w:tcPr>
            <w:tcW w:w="992" w:type="dxa"/>
            <w:shd w:val="clear" w:color="auto" w:fill="auto"/>
          </w:tcPr>
          <w:p w:rsidR="000457EF" w:rsidRPr="00F6543E" w:rsidRDefault="004E0D7F">
            <w:pPr>
              <w:rPr>
                <w:sz w:val="18"/>
              </w:rPr>
            </w:pPr>
            <w:r w:rsidRPr="00F6543E">
              <w:rPr>
                <w:sz w:val="18"/>
              </w:rPr>
              <w:t>0,1</w:t>
            </w:r>
          </w:p>
        </w:tc>
        <w:tc>
          <w:tcPr>
            <w:tcW w:w="1276" w:type="dxa"/>
            <w:shd w:val="clear" w:color="auto" w:fill="auto"/>
          </w:tcPr>
          <w:p w:rsidR="000457EF" w:rsidRPr="00F6543E" w:rsidRDefault="004E0D7F">
            <w:pPr>
              <w:rPr>
                <w:sz w:val="18"/>
              </w:rPr>
            </w:pPr>
            <w:r w:rsidRPr="00F6543E">
              <w:rPr>
                <w:sz w:val="18"/>
              </w:rPr>
              <w:t>0,7</w:t>
            </w:r>
          </w:p>
        </w:tc>
      </w:tr>
    </w:tbl>
    <w:p w:rsidR="000457EF" w:rsidRDefault="004E0D7F">
      <w:pPr>
        <w:rPr>
          <w:sz w:val="18"/>
          <w:szCs w:val="18"/>
        </w:rPr>
      </w:pPr>
      <w:r>
        <w:rPr>
          <w:sz w:val="18"/>
          <w:szCs w:val="18"/>
        </w:rPr>
        <w:t xml:space="preserve">Lecture : En 2011, parmi les entreprises ayant connu une grève, le motif était dans 53 % des cas les rémunérations au sein de l’entreprise, ce qui </w:t>
      </w:r>
      <w:r w:rsidR="00374D2F">
        <w:rPr>
          <w:sz w:val="18"/>
          <w:szCs w:val="18"/>
        </w:rPr>
        <w:t>représente</w:t>
      </w:r>
      <w:r>
        <w:rPr>
          <w:sz w:val="18"/>
          <w:szCs w:val="18"/>
        </w:rPr>
        <w:t xml:space="preserve"> 0,9 % des entreprises.</w:t>
      </w:r>
    </w:p>
    <w:p w:rsidR="004E0D7F" w:rsidRPr="004E0D7F" w:rsidRDefault="004E0D7F" w:rsidP="004E0D7F">
      <w:pPr>
        <w:jc w:val="right"/>
        <w:rPr>
          <w:sz w:val="16"/>
          <w:szCs w:val="18"/>
        </w:rPr>
      </w:pPr>
      <w:r w:rsidRPr="004E0D7F">
        <w:rPr>
          <w:sz w:val="16"/>
          <w:szCs w:val="18"/>
        </w:rPr>
        <w:t>Source : DARES, Bilans et rapports. La négociation collective en 2012, Mai 2013.</w:t>
      </w:r>
    </w:p>
    <w:p w:rsidR="000457EF" w:rsidRDefault="000457EF"/>
    <w:sectPr w:rsidR="000457EF" w:rsidSect="00BF27C4">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yuthaya">
    <w:altName w:val="Arial Unicode MS"/>
    <w:charset w:val="00"/>
    <w:family w:val="auto"/>
    <w:pitch w:val="variable"/>
    <w:sig w:usb0="00000000"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5DF"/>
    <w:multiLevelType w:val="hybridMultilevel"/>
    <w:tmpl w:val="F588126E"/>
    <w:lvl w:ilvl="0" w:tplc="CD98B4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251E7A"/>
    <w:rsid w:val="000457EF"/>
    <w:rsid w:val="00251E7A"/>
    <w:rsid w:val="00304EB5"/>
    <w:rsid w:val="00374D2F"/>
    <w:rsid w:val="003F7C5C"/>
    <w:rsid w:val="00425DCA"/>
    <w:rsid w:val="004E0D7F"/>
    <w:rsid w:val="00654D8A"/>
    <w:rsid w:val="006E08E7"/>
    <w:rsid w:val="00AF5495"/>
    <w:rsid w:val="00BF27C4"/>
    <w:rsid w:val="00EE7B1C"/>
    <w:rsid w:val="00F654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51E7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5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7B1C"/>
    <w:pPr>
      <w:widowControl w:val="0"/>
      <w:autoSpaceDE w:val="0"/>
      <w:autoSpaceDN w:val="0"/>
      <w:adjustRightInd w:val="0"/>
    </w:pPr>
    <w:rPr>
      <w:rFonts w:ascii="Times New Roman" w:eastAsia="Times New Roman" w:hAnsi="Times New Roman"/>
      <w:color w:val="000000"/>
      <w:sz w:val="24"/>
      <w:szCs w:val="24"/>
    </w:rPr>
  </w:style>
  <w:style w:type="paragraph" w:customStyle="1" w:styleId="CM1">
    <w:name w:val="CM1"/>
    <w:basedOn w:val="Default"/>
    <w:next w:val="Default"/>
    <w:rsid w:val="00EE7B1C"/>
    <w:rPr>
      <w:color w:val="auto"/>
    </w:rPr>
  </w:style>
  <w:style w:type="paragraph" w:customStyle="1" w:styleId="CM7">
    <w:name w:val="CM7"/>
    <w:basedOn w:val="Default"/>
    <w:next w:val="Default"/>
    <w:rsid w:val="00EE7B1C"/>
    <w:pPr>
      <w:spacing w:after="383"/>
    </w:pPr>
    <w:rPr>
      <w:color w:val="auto"/>
    </w:rPr>
  </w:style>
  <w:style w:type="paragraph" w:customStyle="1" w:styleId="CM8">
    <w:name w:val="CM8"/>
    <w:basedOn w:val="Default"/>
    <w:next w:val="Default"/>
    <w:rsid w:val="00EE7B1C"/>
    <w:pPr>
      <w:spacing w:after="555"/>
    </w:pPr>
    <w:rPr>
      <w:color w:val="auto"/>
    </w:rPr>
  </w:style>
  <w:style w:type="paragraph" w:customStyle="1" w:styleId="CM9">
    <w:name w:val="CM9"/>
    <w:basedOn w:val="Default"/>
    <w:next w:val="Default"/>
    <w:rsid w:val="00EE7B1C"/>
    <w:pPr>
      <w:spacing w:after="813"/>
    </w:pPr>
    <w:rPr>
      <w:color w:val="auto"/>
    </w:rPr>
  </w:style>
  <w:style w:type="paragraph" w:styleId="Textedebulles">
    <w:name w:val="Balloon Text"/>
    <w:basedOn w:val="Normal"/>
    <w:link w:val="TextedebullesCar"/>
    <w:uiPriority w:val="99"/>
    <w:semiHidden/>
    <w:unhideWhenUsed/>
    <w:rsid w:val="00425DCA"/>
    <w:rPr>
      <w:rFonts w:ascii="Tahoma" w:hAnsi="Tahoma" w:cs="Tahoma"/>
      <w:sz w:val="16"/>
      <w:szCs w:val="16"/>
    </w:rPr>
  </w:style>
  <w:style w:type="character" w:customStyle="1" w:styleId="TextedebullesCar">
    <w:name w:val="Texte de bulles Car"/>
    <w:basedOn w:val="Policepardfaut"/>
    <w:link w:val="Textedebulles"/>
    <w:uiPriority w:val="99"/>
    <w:semiHidden/>
    <w:rsid w:val="00425D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513</Words>
  <Characters>2827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URTIZBEREA</dc:creator>
  <cp:lastModifiedBy>vergnole</cp:lastModifiedBy>
  <cp:revision>3</cp:revision>
  <dcterms:created xsi:type="dcterms:W3CDTF">2016-02-07T11:55:00Z</dcterms:created>
  <dcterms:modified xsi:type="dcterms:W3CDTF">2016-02-07T11:59:00Z</dcterms:modified>
</cp:coreProperties>
</file>