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23" w:rsidRDefault="00D34323" w:rsidP="00D34323">
      <w:pPr>
        <w:jc w:val="both"/>
        <w:rPr>
          <w:b/>
          <w:sz w:val="24"/>
          <w:szCs w:val="24"/>
        </w:rPr>
      </w:pPr>
      <w:r>
        <w:rPr>
          <w:b/>
          <w:sz w:val="24"/>
          <w:szCs w:val="24"/>
        </w:rPr>
        <w:t>Sujet : Vous présenterez les mécanismes de la répartition secondaire des revenus.</w:t>
      </w:r>
    </w:p>
    <w:p w:rsidR="00D34323" w:rsidRDefault="00D34323" w:rsidP="00D34323">
      <w:pPr>
        <w:jc w:val="both"/>
        <w:rPr>
          <w:b/>
          <w:sz w:val="24"/>
          <w:szCs w:val="24"/>
        </w:rPr>
      </w:pPr>
    </w:p>
    <w:p w:rsidR="00D34323" w:rsidRDefault="00D34323" w:rsidP="00D34323">
      <w:r>
        <w:rPr>
          <w:b/>
          <w:sz w:val="24"/>
          <w:szCs w:val="24"/>
          <w:u w:val="single"/>
        </w:rPr>
        <w:t>DOCUMENT 1</w:t>
      </w:r>
    </w:p>
    <w:p w:rsidR="00D34323" w:rsidRDefault="00D34323" w:rsidP="00D34323"/>
    <w:p w:rsidR="00D34323" w:rsidRDefault="00D34323" w:rsidP="00D34323">
      <w:pPr>
        <w:ind w:firstLine="708"/>
        <w:jc w:val="both"/>
        <w:rPr>
          <w:sz w:val="24"/>
          <w:szCs w:val="24"/>
        </w:rPr>
      </w:pPr>
      <w:r>
        <w:rPr>
          <w:sz w:val="24"/>
          <w:szCs w:val="24"/>
        </w:rPr>
        <w:t>La finalité première de la fiscalité, entendue comme l’ensemble des prélèvements, est de financer les dépenses publiques. Mais la structure de ces prélèvements obligatoires peut également jouer […] un rôle de redistribution. Il consiste à corriger et à limiter les inégalités de revenus, notamment par l’intermédiaire de la progressivité de l’impôt. (…)</w:t>
      </w:r>
    </w:p>
    <w:p w:rsidR="00D34323" w:rsidRDefault="00D34323" w:rsidP="00D34323">
      <w:pPr>
        <w:ind w:firstLine="708"/>
        <w:jc w:val="both"/>
        <w:rPr>
          <w:sz w:val="24"/>
          <w:szCs w:val="24"/>
        </w:rPr>
      </w:pPr>
      <w:r>
        <w:rPr>
          <w:sz w:val="24"/>
          <w:szCs w:val="24"/>
        </w:rPr>
        <w:t>Le Conseil constitutionnel a d’ailleurs considéré en 1993 que la progressivité de l’imposition globale du revenu des personnes physiques était un principe à valeur constitutionnel découlant de l’article 13 de la Déclaration des droits de l’homme et du citoyen selon lequel "la contribution commune... doit être également répartie entre tous les citoyens, en raison de leurs facultés".</w:t>
      </w:r>
    </w:p>
    <w:p w:rsidR="00D34323" w:rsidRDefault="00D34323" w:rsidP="00D34323">
      <w:pPr>
        <w:ind w:firstLine="708"/>
        <w:jc w:val="both"/>
        <w:rPr>
          <w:sz w:val="24"/>
          <w:szCs w:val="24"/>
        </w:rPr>
      </w:pPr>
      <w:r>
        <w:rPr>
          <w:sz w:val="24"/>
          <w:szCs w:val="24"/>
        </w:rPr>
        <w:t>Il convient toutefois de souligner que les autorités publiques disposent pour réduire les inégalités d’autres instruments que la fiscalité : les transferts sociaux (comme les prestations familiales) (…), la production de services publics gratuits ou à prix réduit (comme l’enseignement scolaire), enfin l’intervention directe sur les marchés des biens, des services ou du travail (par exemple au travers de la fixation de salaires minima comme le SMIC).</w:t>
      </w:r>
    </w:p>
    <w:p w:rsidR="00D34323" w:rsidRDefault="00D34323" w:rsidP="00D34323">
      <w:pPr>
        <w:jc w:val="both"/>
        <w:rPr>
          <w:sz w:val="24"/>
          <w:szCs w:val="24"/>
        </w:rPr>
      </w:pPr>
    </w:p>
    <w:p w:rsidR="00D34323" w:rsidRDefault="00D34323" w:rsidP="00D34323">
      <w:pPr>
        <w:jc w:val="both"/>
      </w:pPr>
      <w:r>
        <w:rPr>
          <w:sz w:val="24"/>
          <w:szCs w:val="24"/>
        </w:rPr>
        <w:t xml:space="preserve">Source : </w:t>
      </w:r>
      <w:hyperlink r:id="rId4" w:history="1">
        <w:r>
          <w:rPr>
            <w:rStyle w:val="Lienhypertexte"/>
            <w:sz w:val="24"/>
            <w:szCs w:val="24"/>
          </w:rPr>
          <w:t>www.vie-publique.fr</w:t>
        </w:r>
      </w:hyperlink>
      <w:r>
        <w:rPr>
          <w:sz w:val="24"/>
          <w:szCs w:val="24"/>
        </w:rPr>
        <w:t xml:space="preserve">, 30/05/2006  </w:t>
      </w:r>
    </w:p>
    <w:p w:rsidR="00D34323" w:rsidRDefault="00D34323" w:rsidP="00D34323"/>
    <w:p w:rsidR="00D34323" w:rsidRDefault="00D34323" w:rsidP="00D34323"/>
    <w:p w:rsidR="00D34323" w:rsidRDefault="00D34323" w:rsidP="00D34323">
      <w:pPr>
        <w:pageBreakBefore/>
      </w:pPr>
      <w:r>
        <w:rPr>
          <w:b/>
          <w:sz w:val="24"/>
          <w:szCs w:val="24"/>
          <w:u w:val="single"/>
        </w:rPr>
        <w:lastRenderedPageBreak/>
        <w:t>DOCUMENT 2</w:t>
      </w:r>
    </w:p>
    <w:p w:rsidR="00D34323" w:rsidRDefault="00D34323" w:rsidP="00D34323"/>
    <w:p w:rsidR="00D34323" w:rsidRDefault="00D34323" w:rsidP="00D34323">
      <w:pPr>
        <w:jc w:val="center"/>
      </w:pPr>
      <w:r>
        <w:rPr>
          <w:noProof/>
          <w:lang w:eastAsia="fr-FR"/>
        </w:rPr>
        <w:drawing>
          <wp:inline distT="0" distB="0" distL="0" distR="0">
            <wp:extent cx="5753735" cy="326961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735" cy="3269615"/>
                    </a:xfrm>
                    <a:prstGeom prst="rect">
                      <a:avLst/>
                    </a:prstGeom>
                    <a:solidFill>
                      <a:srgbClr val="FFFFFF"/>
                    </a:solidFill>
                    <a:ln w="9525">
                      <a:noFill/>
                      <a:miter lim="800000"/>
                      <a:headEnd/>
                      <a:tailEnd/>
                    </a:ln>
                  </pic:spPr>
                </pic:pic>
              </a:graphicData>
            </a:graphic>
          </wp:inline>
        </w:drawing>
      </w:r>
    </w:p>
    <w:p w:rsidR="00D34323" w:rsidRDefault="00D34323" w:rsidP="00D34323"/>
    <w:p w:rsidR="00D34323" w:rsidRDefault="00D34323" w:rsidP="00D34323">
      <w:pPr>
        <w:jc w:val="both"/>
      </w:pPr>
      <w:r>
        <w:t xml:space="preserve">Lecture : le graphique montre le taux global d’imposition (incluant tous les prélèvements) et sa décomposition par groupes de revenus au sein de la population des 18-65 ans travaillant à au moins 80 % du plein-temps. </w:t>
      </w:r>
    </w:p>
    <w:p w:rsidR="00D34323" w:rsidRDefault="00D34323" w:rsidP="00D34323">
      <w:pPr>
        <w:jc w:val="both"/>
      </w:pPr>
    </w:p>
    <w:p w:rsidR="00D34323" w:rsidRDefault="00D34323" w:rsidP="00D34323">
      <w:pPr>
        <w:jc w:val="both"/>
      </w:pPr>
      <w:r>
        <w:t xml:space="preserve">Groupes de revenus : P0-10 désigne les percentiles 0 à 10, c’est-à-dire les 10 % des personnes avec les revenus les plus faibles, P10-20 les 10 % suivants, etc., P99,999-100 désigne les 0,001 % les plus riches. </w:t>
      </w:r>
    </w:p>
    <w:p w:rsidR="00D34323" w:rsidRDefault="00D34323" w:rsidP="00D34323">
      <w:pPr>
        <w:jc w:val="both"/>
      </w:pPr>
    </w:p>
    <w:p w:rsidR="00D34323" w:rsidRDefault="00D34323" w:rsidP="00D34323">
      <w:pPr>
        <w:jc w:val="both"/>
      </w:pPr>
      <w:r>
        <w:t>Le graphique décompose les impôts en 4 grandes catégories : les cotisations sociales (et autres taxes sur les salaires), les impôts sur la consommation (TVA et autres impôts indirects), les impôts sur le capital (impôt sur les bénéfices des sociétés (IS), taxe foncière (TF), impôt sur la fortune (ISF) et droits de successions (DMTG) et les impôts sur le revenu (CSG et IRPP).</w:t>
      </w:r>
    </w:p>
    <w:p w:rsidR="00D34323" w:rsidRDefault="00D34323" w:rsidP="00D34323">
      <w:pPr>
        <w:jc w:val="both"/>
      </w:pPr>
    </w:p>
    <w:p w:rsidR="00D34323" w:rsidRDefault="00D34323" w:rsidP="00D34323">
      <w:pPr>
        <w:jc w:val="both"/>
      </w:pPr>
      <w:r>
        <w:t xml:space="preserve">Source : Thomas Piketty, </w:t>
      </w:r>
      <w:hyperlink r:id="rId6" w:history="1">
        <w:r>
          <w:rPr>
            <w:rStyle w:val="Lienhypertexte"/>
          </w:rPr>
          <w:t>www.revolution-fiscale.fr</w:t>
        </w:r>
      </w:hyperlink>
      <w:r>
        <w:t>, annexe au chapitre premier.</w:t>
      </w:r>
    </w:p>
    <w:p w:rsidR="00D34323" w:rsidRDefault="00D34323" w:rsidP="00D34323">
      <w:pPr>
        <w:pStyle w:val="NormalWeb"/>
        <w:spacing w:after="0"/>
      </w:pPr>
    </w:p>
    <w:p w:rsidR="00D34323" w:rsidRDefault="00D34323" w:rsidP="00D34323">
      <w:pPr>
        <w:pageBreakBefore/>
      </w:pPr>
      <w:r>
        <w:rPr>
          <w:b/>
          <w:sz w:val="24"/>
          <w:szCs w:val="24"/>
          <w:u w:val="single"/>
        </w:rPr>
        <w:lastRenderedPageBreak/>
        <w:t>DOCUMENT 3</w:t>
      </w:r>
    </w:p>
    <w:p w:rsidR="00D34323" w:rsidRDefault="00D34323" w:rsidP="00D34323">
      <w:pPr>
        <w:shd w:val="clear" w:color="auto" w:fill="FFFFFF"/>
      </w:pPr>
    </w:p>
    <w:p w:rsidR="00D34323" w:rsidRDefault="00D34323" w:rsidP="00D34323">
      <w:pPr>
        <w:shd w:val="clear" w:color="auto" w:fill="FFFFFF"/>
        <w:jc w:val="center"/>
        <w:rPr>
          <w:sz w:val="24"/>
          <w:szCs w:val="24"/>
        </w:rPr>
      </w:pPr>
      <w:r>
        <w:rPr>
          <w:sz w:val="24"/>
          <w:szCs w:val="24"/>
        </w:rPr>
        <w:t xml:space="preserve">MONTANTS MOYENS EN € DES PRELEVEMENTS </w:t>
      </w:r>
    </w:p>
    <w:p w:rsidR="00D34323" w:rsidRDefault="00D34323" w:rsidP="00D34323">
      <w:pPr>
        <w:shd w:val="clear" w:color="auto" w:fill="FFFFFF"/>
        <w:jc w:val="center"/>
      </w:pPr>
      <w:r>
        <w:rPr>
          <w:sz w:val="24"/>
          <w:szCs w:val="24"/>
        </w:rPr>
        <w:t>ET PRESTATIONS PAR UNITE DE CONSOMMATION EN 2014</w:t>
      </w:r>
    </w:p>
    <w:p w:rsidR="00D34323" w:rsidRDefault="00D34323" w:rsidP="00D34323">
      <w:pPr>
        <w:shd w:val="clear" w:color="auto" w:fill="FFFFFF"/>
        <w:jc w:val="center"/>
      </w:pPr>
    </w:p>
    <w:tbl>
      <w:tblPr>
        <w:tblW w:w="0" w:type="auto"/>
        <w:tblInd w:w="-15" w:type="dxa"/>
        <w:tblLayout w:type="fixed"/>
        <w:tblLook w:val="0000"/>
      </w:tblPr>
      <w:tblGrid>
        <w:gridCol w:w="3402"/>
        <w:gridCol w:w="1134"/>
        <w:gridCol w:w="1134"/>
        <w:gridCol w:w="1134"/>
        <w:gridCol w:w="1134"/>
        <w:gridCol w:w="1164"/>
      </w:tblGrid>
      <w:tr w:rsidR="00D34323" w:rsidTr="0080044E">
        <w:tc>
          <w:tcPr>
            <w:tcW w:w="3402" w:type="dxa"/>
            <w:tcBorders>
              <w:top w:val="single" w:sz="8" w:space="0" w:color="000000"/>
              <w:left w:val="single" w:sz="8" w:space="0" w:color="000000"/>
              <w:bottom w:val="single" w:sz="8" w:space="0" w:color="000000"/>
            </w:tcBorders>
            <w:shd w:val="clear" w:color="auto" w:fill="auto"/>
          </w:tcPr>
          <w:p w:rsidR="00D34323" w:rsidRDefault="00D34323" w:rsidP="0080044E">
            <w:pPr>
              <w:snapToGrid w:val="0"/>
              <w:jc w:val="center"/>
              <w:rPr>
                <w:rFonts w:ascii="Arial" w:hAnsi="Arial" w:cs="Arial"/>
                <w:color w:val="000000"/>
                <w:sz w:val="16"/>
                <w:szCs w:val="16"/>
              </w:rPr>
            </w:pPr>
          </w:p>
        </w:tc>
        <w:tc>
          <w:tcPr>
            <w:tcW w:w="1134" w:type="dxa"/>
            <w:tcBorders>
              <w:top w:val="single" w:sz="8" w:space="0" w:color="000000"/>
              <w:left w:val="single" w:sz="8" w:space="0" w:color="000000"/>
              <w:bottom w:val="single" w:sz="8" w:space="0" w:color="000000"/>
            </w:tcBorders>
            <w:shd w:val="clear" w:color="auto" w:fill="auto"/>
          </w:tcPr>
          <w:p w:rsidR="00D34323" w:rsidRDefault="00D34323" w:rsidP="0080044E">
            <w:pPr>
              <w:shd w:val="clear" w:color="auto" w:fill="FFFFFF"/>
              <w:autoSpaceDE w:val="0"/>
              <w:jc w:val="center"/>
              <w:rPr>
                <w:b/>
              </w:rPr>
            </w:pPr>
            <w:r>
              <w:rPr>
                <w:b/>
              </w:rPr>
              <w:t>Q1</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jc w:val="center"/>
              <w:rPr>
                <w:b/>
              </w:rPr>
            </w:pPr>
            <w:r>
              <w:rPr>
                <w:b/>
              </w:rPr>
              <w:t>Q2</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jc w:val="center"/>
              <w:rPr>
                <w:b/>
              </w:rPr>
            </w:pPr>
            <w:r>
              <w:rPr>
                <w:b/>
              </w:rPr>
              <w:t>Q3</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jc w:val="center"/>
              <w:rPr>
                <w:b/>
              </w:rPr>
            </w:pPr>
            <w:r>
              <w:rPr>
                <w:b/>
              </w:rPr>
              <w:t>Q4</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D34323" w:rsidRDefault="00D34323" w:rsidP="0080044E">
            <w:pPr>
              <w:shd w:val="clear" w:color="auto" w:fill="FFFFFF"/>
              <w:autoSpaceDE w:val="0"/>
              <w:jc w:val="center"/>
            </w:pPr>
            <w:r>
              <w:rPr>
                <w:b/>
              </w:rPr>
              <w:t>Q5</w:t>
            </w:r>
          </w:p>
        </w:tc>
      </w:tr>
      <w:tr w:rsidR="00D34323" w:rsidTr="0080044E">
        <w:tc>
          <w:tcPr>
            <w:tcW w:w="3402" w:type="dxa"/>
            <w:tcBorders>
              <w:top w:val="single" w:sz="8" w:space="0" w:color="000000"/>
              <w:left w:val="single" w:sz="8" w:space="0" w:color="000000"/>
              <w:bottom w:val="single" w:sz="8" w:space="0" w:color="000000"/>
            </w:tcBorders>
            <w:shd w:val="clear" w:color="auto" w:fill="auto"/>
            <w:vAlign w:val="center"/>
          </w:tcPr>
          <w:p w:rsidR="00D34323" w:rsidRDefault="00D34323" w:rsidP="0080044E">
            <w:pPr>
              <w:jc w:val="center"/>
            </w:pPr>
            <w:r>
              <w:t>Niveau de vie avant redistribution (A)</w:t>
            </w:r>
          </w:p>
        </w:tc>
        <w:tc>
          <w:tcPr>
            <w:tcW w:w="1134" w:type="dxa"/>
            <w:tcBorders>
              <w:top w:val="single" w:sz="8" w:space="0" w:color="000000"/>
              <w:left w:val="single" w:sz="8"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7 080</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15 940</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22 060</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29 470</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t>56 880</w:t>
            </w:r>
          </w:p>
        </w:tc>
      </w:tr>
      <w:tr w:rsidR="00D34323" w:rsidTr="0080044E">
        <w:tc>
          <w:tcPr>
            <w:tcW w:w="3402" w:type="dxa"/>
            <w:tcBorders>
              <w:top w:val="single" w:sz="8" w:space="0" w:color="000000"/>
              <w:left w:val="single" w:sz="8" w:space="0" w:color="000000"/>
              <w:bottom w:val="single" w:sz="4" w:space="0" w:color="000000"/>
            </w:tcBorders>
            <w:shd w:val="clear" w:color="auto" w:fill="auto"/>
            <w:vAlign w:val="center"/>
          </w:tcPr>
          <w:p w:rsidR="00D34323" w:rsidRDefault="00D34323" w:rsidP="0080044E">
            <w:pPr>
              <w:shd w:val="clear" w:color="auto" w:fill="FFFFFF"/>
              <w:autoSpaceDE w:val="0"/>
              <w:jc w:val="center"/>
              <w:rPr>
                <w:b/>
              </w:rPr>
            </w:pPr>
            <w:r>
              <w:rPr>
                <w:b/>
              </w:rPr>
              <w:t>Prélèvements</w:t>
            </w:r>
          </w:p>
        </w:tc>
        <w:tc>
          <w:tcPr>
            <w:tcW w:w="1134" w:type="dxa"/>
            <w:tcBorders>
              <w:top w:val="single" w:sz="8" w:space="0" w:color="000000"/>
              <w:left w:val="single" w:sz="8"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b/>
              </w:rPr>
            </w:pPr>
            <w:r>
              <w:rPr>
                <w:b/>
              </w:rPr>
              <w:t>-350</w:t>
            </w:r>
          </w:p>
        </w:tc>
        <w:tc>
          <w:tcPr>
            <w:tcW w:w="1134" w:type="dxa"/>
            <w:tcBorders>
              <w:top w:val="single" w:sz="8"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b/>
              </w:rPr>
            </w:pPr>
            <w:r>
              <w:rPr>
                <w:b/>
              </w:rPr>
              <w:t>-1 090</w:t>
            </w:r>
          </w:p>
        </w:tc>
        <w:tc>
          <w:tcPr>
            <w:tcW w:w="1134" w:type="dxa"/>
            <w:tcBorders>
              <w:top w:val="single" w:sz="8"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b/>
              </w:rPr>
            </w:pPr>
            <w:r>
              <w:rPr>
                <w:b/>
              </w:rPr>
              <w:t>-2 250</w:t>
            </w:r>
          </w:p>
        </w:tc>
        <w:tc>
          <w:tcPr>
            <w:tcW w:w="1134" w:type="dxa"/>
            <w:tcBorders>
              <w:top w:val="single" w:sz="8"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b/>
              </w:rPr>
            </w:pPr>
            <w:r>
              <w:rPr>
                <w:b/>
              </w:rPr>
              <w:t>-3 850</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rPr>
                <w:b/>
              </w:rPr>
              <w:t>- 11 690</w:t>
            </w:r>
          </w:p>
        </w:tc>
      </w:tr>
      <w:tr w:rsidR="00D34323" w:rsidTr="0080044E">
        <w:tc>
          <w:tcPr>
            <w:tcW w:w="3402" w:type="dxa"/>
            <w:tcBorders>
              <w:top w:val="single" w:sz="4" w:space="0" w:color="000000"/>
              <w:left w:val="single" w:sz="8" w:space="0" w:color="000000"/>
              <w:bottom w:val="single" w:sz="4" w:space="0" w:color="000000"/>
            </w:tcBorders>
            <w:shd w:val="clear" w:color="auto" w:fill="auto"/>
            <w:vAlign w:val="center"/>
          </w:tcPr>
          <w:p w:rsidR="00D34323" w:rsidRDefault="00D34323" w:rsidP="0080044E">
            <w:pPr>
              <w:shd w:val="clear" w:color="auto" w:fill="FFFFFF"/>
              <w:autoSpaceDE w:val="0"/>
            </w:pPr>
            <w:r>
              <w:t>Financement de la protection sociale</w:t>
            </w:r>
          </w:p>
        </w:tc>
        <w:tc>
          <w:tcPr>
            <w:tcW w:w="1134" w:type="dxa"/>
            <w:tcBorders>
              <w:top w:val="single" w:sz="4" w:space="0" w:color="000000"/>
              <w:left w:val="single" w:sz="8"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-370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-890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-1 490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-2 170</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t>-4 540</w:t>
            </w:r>
          </w:p>
        </w:tc>
      </w:tr>
      <w:tr w:rsidR="00D34323" w:rsidTr="0080044E">
        <w:tc>
          <w:tcPr>
            <w:tcW w:w="3402" w:type="dxa"/>
            <w:tcBorders>
              <w:top w:val="single" w:sz="4" w:space="0" w:color="000000"/>
              <w:left w:val="single" w:sz="8" w:space="0" w:color="000000"/>
              <w:bottom w:val="single" w:sz="4" w:space="0" w:color="000000"/>
            </w:tcBorders>
            <w:shd w:val="clear" w:color="auto" w:fill="auto"/>
            <w:vAlign w:val="center"/>
          </w:tcPr>
          <w:p w:rsidR="00D34323" w:rsidRDefault="00D34323" w:rsidP="0080044E">
            <w:pPr>
              <w:shd w:val="clear" w:color="auto" w:fill="FFFFFF"/>
              <w:autoSpaceDE w:val="0"/>
            </w:pPr>
            <w:r>
              <w:t>Impôt directs dont :</w:t>
            </w:r>
          </w:p>
        </w:tc>
        <w:tc>
          <w:tcPr>
            <w:tcW w:w="1134" w:type="dxa"/>
            <w:tcBorders>
              <w:top w:val="single" w:sz="4" w:space="0" w:color="000000"/>
              <w:left w:val="single" w:sz="8"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20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-200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-760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-1 680</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t>-7 150</w:t>
            </w:r>
          </w:p>
        </w:tc>
      </w:tr>
      <w:tr w:rsidR="00D34323" w:rsidTr="0080044E">
        <w:tc>
          <w:tcPr>
            <w:tcW w:w="3402" w:type="dxa"/>
            <w:tcBorders>
              <w:top w:val="single" w:sz="4" w:space="0" w:color="000000"/>
              <w:left w:val="single" w:sz="8" w:space="0" w:color="000000"/>
              <w:bottom w:val="single" w:sz="4" w:space="0" w:color="000000"/>
            </w:tcBorders>
            <w:shd w:val="clear" w:color="auto" w:fill="auto"/>
            <w:vAlign w:val="center"/>
          </w:tcPr>
          <w:p w:rsidR="00D34323" w:rsidRDefault="00D34323" w:rsidP="0080044E">
            <w:pPr>
              <w:shd w:val="clear" w:color="auto" w:fill="FFFFFF"/>
              <w:jc w:val="center"/>
              <w:rPr>
                <w:i/>
              </w:rPr>
            </w:pPr>
            <w:r>
              <w:rPr>
                <w:i/>
              </w:rPr>
              <w:t xml:space="preserve">- Impôt sur le revenu </w:t>
            </w:r>
          </w:p>
        </w:tc>
        <w:tc>
          <w:tcPr>
            <w:tcW w:w="1134" w:type="dxa"/>
            <w:tcBorders>
              <w:top w:val="single" w:sz="4" w:space="0" w:color="000000"/>
              <w:left w:val="single" w:sz="8"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i/>
              </w:rPr>
            </w:pPr>
            <w:r>
              <w:rPr>
                <w:i/>
              </w:rPr>
              <w:t>80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i/>
              </w:rPr>
            </w:pPr>
            <w:r>
              <w:rPr>
                <w:i/>
              </w:rPr>
              <w:t>30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i/>
              </w:rPr>
            </w:pPr>
            <w:r>
              <w:rPr>
                <w:i/>
              </w:rPr>
              <w:t>-410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i/>
              </w:rPr>
            </w:pPr>
            <w:r>
              <w:rPr>
                <w:i/>
              </w:rPr>
              <w:t>-1 230</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rPr>
                <w:i/>
              </w:rPr>
              <w:t>-6 480</w:t>
            </w:r>
          </w:p>
        </w:tc>
      </w:tr>
      <w:tr w:rsidR="00D34323" w:rsidTr="0080044E">
        <w:tc>
          <w:tcPr>
            <w:tcW w:w="3402" w:type="dxa"/>
            <w:tcBorders>
              <w:top w:val="single" w:sz="4" w:space="0" w:color="000000"/>
              <w:left w:val="single" w:sz="8" w:space="0" w:color="000000"/>
              <w:bottom w:val="single" w:sz="8" w:space="0" w:color="000000"/>
            </w:tcBorders>
            <w:shd w:val="clear" w:color="auto" w:fill="auto"/>
            <w:vAlign w:val="center"/>
          </w:tcPr>
          <w:p w:rsidR="00D34323" w:rsidRDefault="00D34323" w:rsidP="0080044E">
            <w:pPr>
              <w:shd w:val="clear" w:color="auto" w:fill="FFFFFF"/>
              <w:autoSpaceDE w:val="0"/>
              <w:jc w:val="center"/>
              <w:rPr>
                <w:i/>
              </w:rPr>
            </w:pPr>
            <w:r>
              <w:rPr>
                <w:i/>
              </w:rPr>
              <w:t>- Taxe d'habitation</w:t>
            </w:r>
          </w:p>
        </w:tc>
        <w:tc>
          <w:tcPr>
            <w:tcW w:w="1134" w:type="dxa"/>
            <w:tcBorders>
              <w:top w:val="single" w:sz="4" w:space="0" w:color="000000"/>
              <w:left w:val="single" w:sz="8"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rPr>
                <w:i/>
              </w:rPr>
            </w:pPr>
            <w:r>
              <w:rPr>
                <w:i/>
              </w:rPr>
              <w:t>-70</w:t>
            </w:r>
          </w:p>
        </w:tc>
        <w:tc>
          <w:tcPr>
            <w:tcW w:w="1134" w:type="dxa"/>
            <w:tcBorders>
              <w:top w:val="single" w:sz="4"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rPr>
                <w:i/>
              </w:rPr>
            </w:pPr>
            <w:r>
              <w:rPr>
                <w:i/>
              </w:rPr>
              <w:t>-220</w:t>
            </w:r>
          </w:p>
        </w:tc>
        <w:tc>
          <w:tcPr>
            <w:tcW w:w="1134" w:type="dxa"/>
            <w:tcBorders>
              <w:top w:val="single" w:sz="4"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rPr>
                <w:i/>
              </w:rPr>
            </w:pPr>
            <w:r>
              <w:rPr>
                <w:i/>
              </w:rPr>
              <w:t>-350</w:t>
            </w:r>
          </w:p>
        </w:tc>
        <w:tc>
          <w:tcPr>
            <w:tcW w:w="1134" w:type="dxa"/>
            <w:tcBorders>
              <w:top w:val="single" w:sz="4"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rPr>
                <w:i/>
              </w:rPr>
            </w:pPr>
            <w:r>
              <w:rPr>
                <w:i/>
              </w:rPr>
              <w:t>-450</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rPr>
                <w:i/>
              </w:rPr>
              <w:t>-670</w:t>
            </w:r>
          </w:p>
        </w:tc>
      </w:tr>
      <w:tr w:rsidR="00D34323" w:rsidTr="0080044E">
        <w:tc>
          <w:tcPr>
            <w:tcW w:w="3402" w:type="dxa"/>
            <w:tcBorders>
              <w:top w:val="single" w:sz="8" w:space="0" w:color="000000"/>
              <w:left w:val="single" w:sz="8" w:space="0" w:color="000000"/>
              <w:bottom w:val="single" w:sz="4" w:space="0" w:color="000000"/>
            </w:tcBorders>
            <w:shd w:val="clear" w:color="auto" w:fill="auto"/>
            <w:vAlign w:val="center"/>
          </w:tcPr>
          <w:p w:rsidR="00D34323" w:rsidRDefault="00D34323" w:rsidP="0080044E">
            <w:pPr>
              <w:shd w:val="clear" w:color="auto" w:fill="FFFFFF"/>
              <w:autoSpaceDE w:val="0"/>
              <w:jc w:val="center"/>
              <w:rPr>
                <w:b/>
              </w:rPr>
            </w:pPr>
            <w:r>
              <w:rPr>
                <w:b/>
              </w:rPr>
              <w:t>Prestations</w:t>
            </w:r>
          </w:p>
        </w:tc>
        <w:tc>
          <w:tcPr>
            <w:tcW w:w="1134" w:type="dxa"/>
            <w:tcBorders>
              <w:top w:val="single" w:sz="8" w:space="0" w:color="000000"/>
              <w:left w:val="single" w:sz="8"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b/>
              </w:rPr>
            </w:pPr>
            <w:r>
              <w:rPr>
                <w:b/>
              </w:rPr>
              <w:t>4 540</w:t>
            </w:r>
          </w:p>
        </w:tc>
        <w:tc>
          <w:tcPr>
            <w:tcW w:w="1134" w:type="dxa"/>
            <w:tcBorders>
              <w:top w:val="single" w:sz="8"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b/>
              </w:rPr>
            </w:pPr>
            <w:r>
              <w:rPr>
                <w:b/>
              </w:rPr>
              <w:t>1 270</w:t>
            </w:r>
          </w:p>
        </w:tc>
        <w:tc>
          <w:tcPr>
            <w:tcW w:w="1134" w:type="dxa"/>
            <w:tcBorders>
              <w:top w:val="single" w:sz="8"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b/>
              </w:rPr>
            </w:pPr>
            <w:r>
              <w:rPr>
                <w:b/>
              </w:rPr>
              <w:t>710</w:t>
            </w:r>
          </w:p>
        </w:tc>
        <w:tc>
          <w:tcPr>
            <w:tcW w:w="1134" w:type="dxa"/>
            <w:tcBorders>
              <w:top w:val="single" w:sz="8"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rPr>
                <w:b/>
              </w:rPr>
            </w:pPr>
            <w:r>
              <w:rPr>
                <w:b/>
              </w:rPr>
              <w:t>470</w:t>
            </w:r>
          </w:p>
        </w:tc>
        <w:tc>
          <w:tcPr>
            <w:tcW w:w="1164" w:type="dxa"/>
            <w:tcBorders>
              <w:top w:val="single" w:sz="8" w:space="0" w:color="000000"/>
              <w:left w:val="single" w:sz="4" w:space="0" w:color="000000"/>
              <w:bottom w:val="single" w:sz="4"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rPr>
                <w:b/>
              </w:rPr>
              <w:t>320</w:t>
            </w:r>
          </w:p>
        </w:tc>
      </w:tr>
      <w:tr w:rsidR="00D34323" w:rsidTr="0080044E">
        <w:tc>
          <w:tcPr>
            <w:tcW w:w="3402" w:type="dxa"/>
            <w:tcBorders>
              <w:top w:val="single" w:sz="4" w:space="0" w:color="000000"/>
              <w:left w:val="single" w:sz="8" w:space="0" w:color="000000"/>
              <w:bottom w:val="single" w:sz="4" w:space="0" w:color="000000"/>
            </w:tcBorders>
            <w:shd w:val="clear" w:color="auto" w:fill="auto"/>
            <w:vAlign w:val="center"/>
          </w:tcPr>
          <w:p w:rsidR="00D34323" w:rsidRDefault="00D34323" w:rsidP="0080044E">
            <w:pPr>
              <w:shd w:val="clear" w:color="auto" w:fill="FFFFFF"/>
              <w:autoSpaceDE w:val="0"/>
            </w:pPr>
            <w:r>
              <w:t>Prestations familiales</w:t>
            </w:r>
          </w:p>
        </w:tc>
        <w:tc>
          <w:tcPr>
            <w:tcW w:w="1134" w:type="dxa"/>
            <w:tcBorders>
              <w:top w:val="single" w:sz="4" w:space="0" w:color="000000"/>
              <w:left w:val="single" w:sz="8"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1 670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820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560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400</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t>260</w:t>
            </w:r>
          </w:p>
        </w:tc>
      </w:tr>
      <w:tr w:rsidR="00D34323" w:rsidTr="0080044E">
        <w:tc>
          <w:tcPr>
            <w:tcW w:w="3402" w:type="dxa"/>
            <w:tcBorders>
              <w:top w:val="single" w:sz="4" w:space="0" w:color="000000"/>
              <w:left w:val="single" w:sz="8" w:space="0" w:color="000000"/>
              <w:bottom w:val="single" w:sz="4" w:space="0" w:color="000000"/>
            </w:tcBorders>
            <w:shd w:val="clear" w:color="auto" w:fill="auto"/>
            <w:vAlign w:val="center"/>
          </w:tcPr>
          <w:p w:rsidR="00D34323" w:rsidRDefault="00D34323" w:rsidP="0080044E">
            <w:pPr>
              <w:shd w:val="clear" w:color="auto" w:fill="FFFFFF"/>
              <w:autoSpaceDE w:val="0"/>
            </w:pPr>
            <w:r>
              <w:t>Aides au logement</w:t>
            </w:r>
          </w:p>
        </w:tc>
        <w:tc>
          <w:tcPr>
            <w:tcW w:w="1134" w:type="dxa"/>
            <w:tcBorders>
              <w:top w:val="single" w:sz="4" w:space="0" w:color="000000"/>
              <w:left w:val="single" w:sz="8"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1 440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230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60</w:t>
            </w:r>
          </w:p>
        </w:tc>
        <w:tc>
          <w:tcPr>
            <w:tcW w:w="1134" w:type="dxa"/>
            <w:tcBorders>
              <w:top w:val="single" w:sz="4" w:space="0" w:color="000000"/>
              <w:left w:val="single" w:sz="4" w:space="0" w:color="000000"/>
              <w:bottom w:val="single" w:sz="4" w:space="0" w:color="000000"/>
            </w:tcBorders>
            <w:shd w:val="clear" w:color="auto" w:fill="auto"/>
          </w:tcPr>
          <w:p w:rsidR="00D34323" w:rsidRDefault="00D34323" w:rsidP="0080044E">
            <w:pPr>
              <w:shd w:val="clear" w:color="auto" w:fill="FFFFFF"/>
              <w:autoSpaceDE w:val="0"/>
              <w:spacing w:before="120" w:after="120"/>
              <w:jc w:val="center"/>
            </w:pPr>
            <w:r>
              <w:t>20</w:t>
            </w:r>
          </w:p>
        </w:tc>
        <w:tc>
          <w:tcPr>
            <w:tcW w:w="1164" w:type="dxa"/>
            <w:tcBorders>
              <w:top w:val="single" w:sz="4" w:space="0" w:color="000000"/>
              <w:left w:val="single" w:sz="4" w:space="0" w:color="000000"/>
              <w:bottom w:val="single" w:sz="4"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t>20</w:t>
            </w:r>
          </w:p>
        </w:tc>
      </w:tr>
      <w:tr w:rsidR="00D34323" w:rsidTr="0080044E">
        <w:tc>
          <w:tcPr>
            <w:tcW w:w="3402" w:type="dxa"/>
            <w:tcBorders>
              <w:top w:val="single" w:sz="4" w:space="0" w:color="000000"/>
              <w:left w:val="single" w:sz="8" w:space="0" w:color="000000"/>
              <w:bottom w:val="single" w:sz="8" w:space="0" w:color="000000"/>
            </w:tcBorders>
            <w:shd w:val="clear" w:color="auto" w:fill="auto"/>
            <w:vAlign w:val="center"/>
          </w:tcPr>
          <w:p w:rsidR="00D34323" w:rsidRDefault="00D34323" w:rsidP="0080044E">
            <w:pPr>
              <w:shd w:val="clear" w:color="auto" w:fill="FFFFFF"/>
            </w:pPr>
            <w:r>
              <w:t>Minima sociaux et RSA activité</w:t>
            </w:r>
          </w:p>
        </w:tc>
        <w:tc>
          <w:tcPr>
            <w:tcW w:w="1134" w:type="dxa"/>
            <w:tcBorders>
              <w:top w:val="single" w:sz="4" w:space="0" w:color="000000"/>
              <w:left w:val="single" w:sz="8"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1 430</w:t>
            </w:r>
          </w:p>
        </w:tc>
        <w:tc>
          <w:tcPr>
            <w:tcW w:w="1134" w:type="dxa"/>
            <w:tcBorders>
              <w:top w:val="single" w:sz="4"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220</w:t>
            </w:r>
          </w:p>
        </w:tc>
        <w:tc>
          <w:tcPr>
            <w:tcW w:w="1134" w:type="dxa"/>
            <w:tcBorders>
              <w:top w:val="single" w:sz="4"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90</w:t>
            </w:r>
          </w:p>
        </w:tc>
        <w:tc>
          <w:tcPr>
            <w:tcW w:w="1134" w:type="dxa"/>
            <w:tcBorders>
              <w:top w:val="single" w:sz="4"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50</w:t>
            </w:r>
          </w:p>
        </w:tc>
        <w:tc>
          <w:tcPr>
            <w:tcW w:w="1164" w:type="dxa"/>
            <w:tcBorders>
              <w:top w:val="single" w:sz="4" w:space="0" w:color="000000"/>
              <w:left w:val="single" w:sz="4" w:space="0" w:color="000000"/>
              <w:bottom w:val="single" w:sz="8"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t>40</w:t>
            </w:r>
          </w:p>
        </w:tc>
      </w:tr>
      <w:tr w:rsidR="00D34323" w:rsidTr="0080044E">
        <w:tc>
          <w:tcPr>
            <w:tcW w:w="3402" w:type="dxa"/>
            <w:tcBorders>
              <w:top w:val="single" w:sz="8" w:space="0" w:color="000000"/>
              <w:left w:val="single" w:sz="8" w:space="0" w:color="000000"/>
              <w:bottom w:val="single" w:sz="8" w:space="0" w:color="000000"/>
            </w:tcBorders>
            <w:shd w:val="clear" w:color="auto" w:fill="auto"/>
            <w:vAlign w:val="center"/>
          </w:tcPr>
          <w:p w:rsidR="00D34323" w:rsidRDefault="00D34323" w:rsidP="0080044E">
            <w:pPr>
              <w:shd w:val="clear" w:color="auto" w:fill="FFFFFF"/>
              <w:autoSpaceDE w:val="0"/>
              <w:jc w:val="center"/>
            </w:pPr>
            <w:r>
              <w:t>Niveau de vie après redistribution (B)</w:t>
            </w:r>
          </w:p>
        </w:tc>
        <w:tc>
          <w:tcPr>
            <w:tcW w:w="1134" w:type="dxa"/>
            <w:tcBorders>
              <w:top w:val="single" w:sz="8" w:space="0" w:color="000000"/>
              <w:left w:val="single" w:sz="8"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11 270</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16 120</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20 520</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pPr>
            <w:r>
              <w:t>26 090</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t>45 500</w:t>
            </w:r>
          </w:p>
        </w:tc>
      </w:tr>
      <w:tr w:rsidR="00D34323" w:rsidTr="0080044E">
        <w:tc>
          <w:tcPr>
            <w:tcW w:w="3402" w:type="dxa"/>
            <w:tcBorders>
              <w:top w:val="single" w:sz="8" w:space="0" w:color="000000"/>
              <w:left w:val="single" w:sz="8" w:space="0" w:color="000000"/>
              <w:bottom w:val="single" w:sz="8" w:space="0" w:color="000000"/>
            </w:tcBorders>
            <w:shd w:val="clear" w:color="auto" w:fill="auto"/>
            <w:vAlign w:val="center"/>
          </w:tcPr>
          <w:p w:rsidR="00D34323" w:rsidRDefault="00D34323" w:rsidP="0080044E">
            <w:pPr>
              <w:shd w:val="clear" w:color="auto" w:fill="FFFFFF"/>
              <w:jc w:val="center"/>
              <w:rPr>
                <w:b/>
              </w:rPr>
            </w:pPr>
            <w:r>
              <w:rPr>
                <w:b/>
              </w:rPr>
              <w:t>Taux de redistribution (B-A)/A (%)</w:t>
            </w:r>
          </w:p>
        </w:tc>
        <w:tc>
          <w:tcPr>
            <w:tcW w:w="1134" w:type="dxa"/>
            <w:tcBorders>
              <w:top w:val="single" w:sz="8" w:space="0" w:color="000000"/>
              <w:left w:val="single" w:sz="8"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rPr>
                <w:b/>
              </w:rPr>
            </w:pPr>
            <w:r>
              <w:rPr>
                <w:b/>
              </w:rPr>
              <w:t>59,2</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rPr>
                <w:b/>
              </w:rPr>
            </w:pPr>
            <w:r>
              <w:rPr>
                <w:b/>
              </w:rPr>
              <w:t>1,1</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rPr>
                <w:b/>
              </w:rPr>
            </w:pPr>
            <w:r>
              <w:rPr>
                <w:b/>
              </w:rPr>
              <w:t>-7,0</w:t>
            </w:r>
          </w:p>
        </w:tc>
        <w:tc>
          <w:tcPr>
            <w:tcW w:w="1134" w:type="dxa"/>
            <w:tcBorders>
              <w:top w:val="single" w:sz="8" w:space="0" w:color="000000"/>
              <w:left w:val="single" w:sz="4" w:space="0" w:color="000000"/>
              <w:bottom w:val="single" w:sz="8" w:space="0" w:color="000000"/>
            </w:tcBorders>
            <w:shd w:val="clear" w:color="auto" w:fill="auto"/>
          </w:tcPr>
          <w:p w:rsidR="00D34323" w:rsidRDefault="00D34323" w:rsidP="0080044E">
            <w:pPr>
              <w:shd w:val="clear" w:color="auto" w:fill="FFFFFF"/>
              <w:autoSpaceDE w:val="0"/>
              <w:spacing w:before="120" w:after="120"/>
              <w:jc w:val="center"/>
              <w:rPr>
                <w:b/>
              </w:rPr>
            </w:pPr>
            <w:r>
              <w:rPr>
                <w:b/>
              </w:rPr>
              <w:t>-11,5</w:t>
            </w:r>
          </w:p>
        </w:tc>
        <w:tc>
          <w:tcPr>
            <w:tcW w:w="1164" w:type="dxa"/>
            <w:tcBorders>
              <w:top w:val="single" w:sz="8" w:space="0" w:color="000000"/>
              <w:left w:val="single" w:sz="4" w:space="0" w:color="000000"/>
              <w:bottom w:val="single" w:sz="8" w:space="0" w:color="000000"/>
              <w:right w:val="single" w:sz="8" w:space="0" w:color="000000"/>
            </w:tcBorders>
            <w:shd w:val="clear" w:color="auto" w:fill="auto"/>
          </w:tcPr>
          <w:p w:rsidR="00D34323" w:rsidRDefault="00D34323" w:rsidP="0080044E">
            <w:pPr>
              <w:shd w:val="clear" w:color="auto" w:fill="FFFFFF"/>
              <w:autoSpaceDE w:val="0"/>
              <w:spacing w:before="120" w:after="120"/>
              <w:jc w:val="center"/>
            </w:pPr>
            <w:r>
              <w:rPr>
                <w:b/>
              </w:rPr>
              <w:t>-20,0</w:t>
            </w:r>
          </w:p>
        </w:tc>
      </w:tr>
    </w:tbl>
    <w:p w:rsidR="00D34323" w:rsidRDefault="00D34323" w:rsidP="00D34323">
      <w:pPr>
        <w:shd w:val="clear" w:color="auto" w:fill="FFFFFF"/>
        <w:spacing w:before="120"/>
      </w:pPr>
      <w:r>
        <w:t xml:space="preserve">    Q1 : 20 % des personnes les plus modestes, ... Q5 : 20 % des personnes les plus aisées ; </w:t>
      </w:r>
    </w:p>
    <w:p w:rsidR="00D34323" w:rsidRDefault="00D34323" w:rsidP="00D34323">
      <w:pPr>
        <w:spacing w:before="120"/>
        <w:jc w:val="both"/>
      </w:pPr>
      <w:r>
        <w:t xml:space="preserve">Champ : France métropolitaine, personnes vivant dans un ménage dont le revenu est positif ou nul et dont la personne de référence n'est pas étudiante. </w:t>
      </w:r>
    </w:p>
    <w:p w:rsidR="00D34323" w:rsidRDefault="00D34323" w:rsidP="00D34323">
      <w:pPr>
        <w:spacing w:before="120"/>
        <w:jc w:val="both"/>
      </w:pPr>
      <w:r>
        <w:t>Lecture : les personnes du 3</w:t>
      </w:r>
      <w:r>
        <w:rPr>
          <w:vertAlign w:val="superscript"/>
        </w:rPr>
        <w:t>ème</w:t>
      </w:r>
      <w:r>
        <w:t xml:space="preserve"> quintile de niveau dévie (Q3) ont acquitté en moyenne 410 € d'impôt sur le revenu par an et par unité de consommation. </w:t>
      </w:r>
    </w:p>
    <w:p w:rsidR="004A04CB" w:rsidRDefault="00D34323" w:rsidP="00D34323">
      <w:pPr>
        <w:spacing w:before="120"/>
        <w:jc w:val="both"/>
      </w:pPr>
      <w:r>
        <w:t xml:space="preserve">Sources : Insee ; </w:t>
      </w:r>
      <w:proofErr w:type="spellStart"/>
      <w:r>
        <w:t>DGFiP</w:t>
      </w:r>
      <w:proofErr w:type="spellEnd"/>
      <w:r>
        <w:t xml:space="preserve"> ; </w:t>
      </w:r>
      <w:proofErr w:type="spellStart"/>
      <w:r>
        <w:t>Cnaf</w:t>
      </w:r>
      <w:proofErr w:type="spellEnd"/>
      <w:r>
        <w:t xml:space="preserve"> ; </w:t>
      </w:r>
      <w:proofErr w:type="spellStart"/>
      <w:r>
        <w:t>Cnav</w:t>
      </w:r>
      <w:proofErr w:type="spellEnd"/>
      <w:r>
        <w:t xml:space="preserve"> ; CCMSA, enquête Revenus fiscaux et sociaux 2012 (actualisée 2014), modèle </w:t>
      </w:r>
      <w:proofErr w:type="spellStart"/>
      <w:r>
        <w:t>Ines</w:t>
      </w:r>
      <w:proofErr w:type="spellEnd"/>
      <w:r>
        <w:t>, calculs Drees et Insee.</w:t>
      </w:r>
    </w:p>
    <w:sectPr w:rsidR="004A04CB" w:rsidSect="004A0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34323"/>
    <w:rsid w:val="000339A1"/>
    <w:rsid w:val="0013723B"/>
    <w:rsid w:val="004A04CB"/>
    <w:rsid w:val="00D343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323"/>
    <w:rPr>
      <w:color w:val="0000FF"/>
      <w:u w:val="single"/>
    </w:rPr>
  </w:style>
  <w:style w:type="paragraph" w:styleId="NormalWeb">
    <w:name w:val="Normal (Web)"/>
    <w:basedOn w:val="Normal"/>
    <w:rsid w:val="00D34323"/>
    <w:pPr>
      <w:suppressAutoHyphens/>
      <w:spacing w:before="280" w:after="119"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D343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olution-fiscale.fr/" TargetMode="External"/><Relationship Id="rId5" Type="http://schemas.openxmlformats.org/officeDocument/2006/relationships/image" Target="media/image1.png"/><Relationship Id="rId4" Type="http://schemas.openxmlformats.org/officeDocument/2006/relationships/hyperlink" Target="http://www.vie-publ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3079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1</cp:revision>
  <dcterms:created xsi:type="dcterms:W3CDTF">2016-05-19T17:23:00Z</dcterms:created>
  <dcterms:modified xsi:type="dcterms:W3CDTF">2016-05-19T17:24:00Z</dcterms:modified>
</cp:coreProperties>
</file>