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47" w:rsidRPr="00C07EF7" w:rsidRDefault="00AA0F47" w:rsidP="00AA0F47">
      <w:pPr>
        <w:rPr>
          <w:b/>
        </w:rPr>
      </w:pPr>
      <w:r w:rsidRPr="00C07EF7">
        <w:rPr>
          <w:b/>
        </w:rPr>
        <w:t>Éléments d’évaluation EC3 : /10</w:t>
      </w:r>
    </w:p>
    <w:p w:rsidR="00AA0F47" w:rsidRDefault="00AA0F47" w:rsidP="00AA0F47">
      <w:pPr>
        <w:pStyle w:val="NormalWeb"/>
        <w:spacing w:after="0"/>
      </w:pPr>
      <w:r>
        <w:rPr>
          <w:noProof/>
        </w:rPr>
        <w:pict>
          <v:shapetype id="_x0000_t202" coordsize="21600,21600" o:spt="202" path="m,l,21600r21600,l21600,xe">
            <v:stroke joinstyle="miter"/>
            <v:path gradientshapeok="t" o:connecttype="rect"/>
          </v:shapetype>
          <v:shape id="_x0000_s1026" type="#_x0000_t202" style="position:absolute;margin-left:0;margin-top:0;width:454.35pt;height:55.3pt;z-index:251660288;mso-wrap-style:none">
            <v:textbox style="mso-fit-shape-to-text:t">
              <w:txbxContent>
                <w:p w:rsidR="00AA0F47" w:rsidRPr="0064595F" w:rsidRDefault="00AA0F47" w:rsidP="00AA0F47">
                  <w:pPr>
                    <w:pStyle w:val="NormalWeb"/>
                    <w:rPr>
                      <w:b/>
                      <w:bCs/>
                    </w:rPr>
                  </w:pPr>
                  <w:r>
                    <w:rPr>
                      <w:b/>
                      <w:bCs/>
                    </w:rPr>
                    <w:t xml:space="preserve">Sujet : </w:t>
                  </w:r>
                  <w:r>
                    <w:rPr>
                      <w:b/>
                      <w:bCs/>
                      <w:color w:val="000000"/>
                    </w:rPr>
                    <w:t>À l'aide de vos connaissances et du dossier documentaire, vous montrerez dans quels cas les pouvoirs publics peuvent-ils agir sur le niveau d’inflation au sein de la zone euro</w:t>
                  </w:r>
                </w:p>
              </w:txbxContent>
            </v:textbox>
            <w10:wrap type="square"/>
          </v:shape>
        </w:pict>
      </w:r>
      <w:r>
        <w:rPr>
          <w:b/>
          <w:bCs/>
          <w:color w:val="000000"/>
        </w:rPr>
        <w:t>.</w:t>
      </w:r>
    </w:p>
    <w:tbl>
      <w:tblPr>
        <w:tblW w:w="10350"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00"/>
      </w:tblPr>
      <w:tblGrid>
        <w:gridCol w:w="3424"/>
        <w:gridCol w:w="6926"/>
      </w:tblGrid>
      <w:tr w:rsidR="00AA0F47" w:rsidTr="004B24B8">
        <w:trPr>
          <w:trHeight w:val="195"/>
          <w:tblCellSpacing w:w="0" w:type="dxa"/>
        </w:trPr>
        <w:tc>
          <w:tcPr>
            <w:tcW w:w="3315" w:type="dxa"/>
            <w:tcBorders>
              <w:top w:val="outset" w:sz="6" w:space="0" w:color="00000A"/>
              <w:left w:val="outset" w:sz="6" w:space="0" w:color="00000A"/>
              <w:bottom w:val="outset" w:sz="6" w:space="0" w:color="00000A"/>
              <w:right w:val="outset" w:sz="6" w:space="0" w:color="00000A"/>
            </w:tcBorders>
          </w:tcPr>
          <w:p w:rsidR="00AA0F47" w:rsidRDefault="00AA0F47" w:rsidP="004B24B8">
            <w:pPr>
              <w:pStyle w:val="NormalWeb"/>
              <w:spacing w:line="195" w:lineRule="atLeast"/>
            </w:pPr>
            <w:r>
              <w:t>Critères de réussite</w:t>
            </w:r>
          </w:p>
        </w:tc>
        <w:tc>
          <w:tcPr>
            <w:tcW w:w="6705" w:type="dxa"/>
            <w:tcBorders>
              <w:top w:val="outset" w:sz="6" w:space="0" w:color="00000A"/>
              <w:left w:val="outset" w:sz="6" w:space="0" w:color="00000A"/>
              <w:bottom w:val="outset" w:sz="6" w:space="0" w:color="00000A"/>
              <w:right w:val="outset" w:sz="6" w:space="0" w:color="00000A"/>
            </w:tcBorders>
          </w:tcPr>
          <w:p w:rsidR="00AA0F47" w:rsidRDefault="00AA0F47" w:rsidP="004B24B8">
            <w:pPr>
              <w:pStyle w:val="NormalWeb"/>
              <w:spacing w:line="195" w:lineRule="atLeast"/>
            </w:pPr>
            <w:r>
              <w:t>Eléments de correction</w:t>
            </w:r>
          </w:p>
        </w:tc>
      </w:tr>
      <w:tr w:rsidR="00AA0F47" w:rsidTr="004B24B8">
        <w:trPr>
          <w:trHeight w:val="405"/>
          <w:tblCellSpacing w:w="0" w:type="dxa"/>
        </w:trPr>
        <w:tc>
          <w:tcPr>
            <w:tcW w:w="3315" w:type="dxa"/>
            <w:tcBorders>
              <w:top w:val="outset" w:sz="6" w:space="0" w:color="00000A"/>
              <w:left w:val="outset" w:sz="6" w:space="0" w:color="00000A"/>
              <w:bottom w:val="outset" w:sz="6" w:space="0" w:color="00000A"/>
              <w:right w:val="outset" w:sz="6" w:space="0" w:color="00000A"/>
            </w:tcBorders>
          </w:tcPr>
          <w:p w:rsidR="00AA0F47" w:rsidRDefault="00AA0F47" w:rsidP="004B24B8">
            <w:pPr>
              <w:pStyle w:val="NormalWeb"/>
              <w:spacing w:after="0"/>
            </w:pPr>
            <w:r>
              <w:t>A- Mobiliser des connaissances pertinentes pour répondre au sujet (1) : Concepts attendus :</w:t>
            </w:r>
          </w:p>
          <w:p w:rsidR="00AA0F47" w:rsidRDefault="00AA0F47" w:rsidP="004B24B8">
            <w:pPr>
              <w:pStyle w:val="NormalWeb"/>
            </w:pPr>
            <w:r>
              <w:t>(4 points)</w:t>
            </w:r>
          </w:p>
        </w:tc>
        <w:tc>
          <w:tcPr>
            <w:tcW w:w="6705" w:type="dxa"/>
            <w:tcBorders>
              <w:top w:val="outset" w:sz="6" w:space="0" w:color="00000A"/>
              <w:left w:val="outset" w:sz="6" w:space="0" w:color="00000A"/>
              <w:bottom w:val="outset" w:sz="6" w:space="0" w:color="00000A"/>
              <w:right w:val="outset" w:sz="6" w:space="0" w:color="00000A"/>
            </w:tcBorders>
          </w:tcPr>
          <w:p w:rsidR="00AA0F47" w:rsidRDefault="00AA0F47" w:rsidP="004B24B8">
            <w:r>
              <w:t>- mécanismes de l’inflation</w:t>
            </w:r>
          </w:p>
          <w:p w:rsidR="00AA0F47" w:rsidRDefault="00AA0F47" w:rsidP="004B24B8">
            <w:r>
              <w:t xml:space="preserve">- </w:t>
            </w:r>
            <w:proofErr w:type="spellStart"/>
            <w:r>
              <w:t>policy</w:t>
            </w:r>
            <w:proofErr w:type="spellEnd"/>
            <w:r>
              <w:t>-mix</w:t>
            </w:r>
          </w:p>
          <w:p w:rsidR="00AA0F47" w:rsidRDefault="00AA0F47" w:rsidP="004B24B8">
            <w:r>
              <w:t xml:space="preserve">- rôle de </w:t>
            </w:r>
            <w:smartTag w:uri="urn:schemas-microsoft-com:office:smarttags" w:element="PersonName">
              <w:smartTagPr>
                <w:attr w:name="ProductID" w:val="la BCE"/>
              </w:smartTagPr>
              <w:r>
                <w:t>la BCE</w:t>
              </w:r>
            </w:smartTag>
            <w:r>
              <w:t xml:space="preserve"> (Politiques monétaires)</w:t>
            </w:r>
          </w:p>
          <w:p w:rsidR="00AA0F47" w:rsidRDefault="00AA0F47" w:rsidP="004B24B8">
            <w:r>
              <w:t>- rôle de la demande globale</w:t>
            </w:r>
          </w:p>
          <w:p w:rsidR="00AA0F47" w:rsidRDefault="00AA0F47" w:rsidP="004B24B8">
            <w:r>
              <w:t>- Politiques structurelles / conjoncturelles</w:t>
            </w:r>
          </w:p>
        </w:tc>
      </w:tr>
      <w:tr w:rsidR="00AA0F47" w:rsidTr="004B24B8">
        <w:trPr>
          <w:tblCellSpacing w:w="0" w:type="dxa"/>
        </w:trPr>
        <w:tc>
          <w:tcPr>
            <w:tcW w:w="3315" w:type="dxa"/>
            <w:tcBorders>
              <w:top w:val="outset" w:sz="6" w:space="0" w:color="00000A"/>
              <w:left w:val="outset" w:sz="6" w:space="0" w:color="00000A"/>
              <w:bottom w:val="outset" w:sz="6" w:space="0" w:color="00000A"/>
              <w:right w:val="outset" w:sz="6" w:space="0" w:color="00000A"/>
            </w:tcBorders>
          </w:tcPr>
          <w:p w:rsidR="00AA0F47" w:rsidRDefault="00AA0F47" w:rsidP="004B24B8">
            <w:pPr>
              <w:pStyle w:val="NormalWeb"/>
              <w:spacing w:after="0"/>
            </w:pPr>
            <w:r>
              <w:t xml:space="preserve">B- Mobiliser des informations pertinentes issues du dossier documentaire pour répondre au sujet. (1) : </w:t>
            </w:r>
          </w:p>
          <w:p w:rsidR="00AA0F47" w:rsidRDefault="00AA0F47" w:rsidP="004B24B8">
            <w:pPr>
              <w:pStyle w:val="NormalWeb"/>
              <w:spacing w:after="0"/>
            </w:pPr>
            <w:r>
              <w:t>(3 points)</w:t>
            </w:r>
          </w:p>
        </w:tc>
        <w:tc>
          <w:tcPr>
            <w:tcW w:w="6705" w:type="dxa"/>
            <w:tcBorders>
              <w:top w:val="outset" w:sz="6" w:space="0" w:color="00000A"/>
              <w:left w:val="outset" w:sz="6" w:space="0" w:color="00000A"/>
              <w:bottom w:val="outset" w:sz="6" w:space="0" w:color="00000A"/>
              <w:right w:val="outset" w:sz="6" w:space="0" w:color="00000A"/>
            </w:tcBorders>
          </w:tcPr>
          <w:p w:rsidR="00AA0F47" w:rsidRDefault="00AA0F47" w:rsidP="004B24B8">
            <w:r>
              <w:t>- Lecture correcte des documents et interprétation.</w:t>
            </w:r>
          </w:p>
          <w:p w:rsidR="00AA0F47" w:rsidRDefault="00AA0F47" w:rsidP="004B24B8">
            <w:r>
              <w:t xml:space="preserve">- Doc. 1 : lectures et comparaisons dans le temps et dans l’espace. (Différence entre % et points de %, coefficients multiplicateurs…). Illustration des politiques budgétaires. </w:t>
            </w:r>
          </w:p>
          <w:p w:rsidR="00AA0F47" w:rsidRDefault="00AA0F47" w:rsidP="004B24B8">
            <w:r>
              <w:t xml:space="preserve">- Doc. 2 : lectures et comparaisons dans le temps et dans l’espace. Exploitation du rôle du coût du travail et non maîtrise de l’évolution de l’inflation. Le salaire horaire charges sociales( comprises)est passé dans  de   23,9 euros en 1999 à 35,3 euros en 2011(11,6 euros) pour </w:t>
            </w:r>
            <w:smartTag w:uri="urn:schemas-microsoft-com:office:smarttags" w:element="PersonName">
              <w:smartTagPr>
                <w:attr w:name="ProductID" w:val="la Frances"/>
              </w:smartTagPr>
              <w:r>
                <w:t>la Frances</w:t>
              </w:r>
            </w:smartTag>
            <w:r>
              <w:t xml:space="preserve"> et respectivement pour l’Allemagne de  26,3 à 33,9 (soit plus 6,6 euros ). L’Allemagne est donc parvenue à réduire d’avantage l’inflation par les coûts que la France.</w:t>
            </w:r>
          </w:p>
        </w:tc>
      </w:tr>
      <w:tr w:rsidR="00AA0F47" w:rsidTr="004B24B8">
        <w:trPr>
          <w:tblCellSpacing w:w="0" w:type="dxa"/>
        </w:trPr>
        <w:tc>
          <w:tcPr>
            <w:tcW w:w="3315" w:type="dxa"/>
            <w:tcBorders>
              <w:top w:val="outset" w:sz="6" w:space="0" w:color="00000A"/>
              <w:left w:val="outset" w:sz="6" w:space="0" w:color="00000A"/>
              <w:bottom w:val="outset" w:sz="6" w:space="0" w:color="00000A"/>
              <w:right w:val="outset" w:sz="6" w:space="0" w:color="00000A"/>
            </w:tcBorders>
          </w:tcPr>
          <w:p w:rsidR="00AA0F47" w:rsidRDefault="00AA0F47" w:rsidP="004B24B8">
            <w:pPr>
              <w:pStyle w:val="NormalWeb"/>
              <w:spacing w:after="0"/>
            </w:pPr>
            <w:r>
              <w:t>C</w:t>
            </w:r>
            <w:r>
              <w:rPr>
                <w:b/>
                <w:bCs/>
              </w:rPr>
              <w:t>- Construire un raisonnement cohérent</w:t>
            </w:r>
            <w:r>
              <w:t xml:space="preserve"> qui répond au sujet en paragraphes argumentés (1)</w:t>
            </w:r>
          </w:p>
          <w:p w:rsidR="00AA0F47" w:rsidRDefault="00AA0F47" w:rsidP="004B24B8">
            <w:pPr>
              <w:pStyle w:val="NormalWeb"/>
              <w:spacing w:after="0"/>
            </w:pPr>
            <w:r>
              <w:t xml:space="preserve">Intro : </w:t>
            </w:r>
          </w:p>
          <w:p w:rsidR="00AA0F47" w:rsidRDefault="00AA0F47" w:rsidP="004B24B8">
            <w:pPr>
              <w:pStyle w:val="NormalWeb"/>
              <w:numPr>
                <w:ilvl w:val="0"/>
                <w:numId w:val="1"/>
              </w:numPr>
              <w:spacing w:after="0"/>
            </w:pPr>
            <w:r>
              <w:t>entrée en matière</w:t>
            </w:r>
          </w:p>
          <w:p w:rsidR="00AA0F47" w:rsidRDefault="00AA0F47" w:rsidP="004B24B8">
            <w:pPr>
              <w:pStyle w:val="NormalWeb"/>
              <w:numPr>
                <w:ilvl w:val="0"/>
                <w:numId w:val="1"/>
              </w:numPr>
              <w:spacing w:after="0"/>
            </w:pPr>
            <w:r>
              <w:t>indication de la démarche</w:t>
            </w:r>
          </w:p>
          <w:p w:rsidR="00AA0F47" w:rsidRDefault="00AA0F47" w:rsidP="004B24B8">
            <w:pPr>
              <w:pStyle w:val="NormalWeb"/>
              <w:spacing w:after="0"/>
            </w:pPr>
            <w:r>
              <w:t>Conclusion : réponse à la question</w:t>
            </w:r>
          </w:p>
          <w:p w:rsidR="00AA0F47" w:rsidRDefault="00AA0F47" w:rsidP="004B24B8">
            <w:pPr>
              <w:pStyle w:val="NormalWeb"/>
              <w:spacing w:after="0"/>
            </w:pPr>
            <w:r>
              <w:t>(2 points)</w:t>
            </w:r>
          </w:p>
          <w:p w:rsidR="00AA0F47" w:rsidRDefault="00AA0F47" w:rsidP="004B24B8">
            <w:pPr>
              <w:pStyle w:val="NormalWeb"/>
            </w:pPr>
          </w:p>
        </w:tc>
        <w:tc>
          <w:tcPr>
            <w:tcW w:w="6705" w:type="dxa"/>
            <w:tcBorders>
              <w:top w:val="outset" w:sz="6" w:space="0" w:color="00000A"/>
              <w:left w:val="outset" w:sz="6" w:space="0" w:color="00000A"/>
              <w:bottom w:val="outset" w:sz="6" w:space="0" w:color="00000A"/>
              <w:right w:val="outset" w:sz="6" w:space="0" w:color="00000A"/>
            </w:tcBorders>
          </w:tcPr>
          <w:p w:rsidR="00AA0F47" w:rsidRDefault="00AA0F47" w:rsidP="004B24B8">
            <w:pPr>
              <w:jc w:val="center"/>
            </w:pPr>
            <w:r>
              <w:lastRenderedPageBreak/>
              <w:t>Eléments de correction</w:t>
            </w:r>
          </w:p>
          <w:p w:rsidR="00AA0F47" w:rsidRPr="00A177B5" w:rsidRDefault="00AA0F47" w:rsidP="004B24B8">
            <w:pPr>
              <w:rPr>
                <w:b/>
              </w:rPr>
            </w:pPr>
            <w:r w:rsidRPr="00A177B5">
              <w:rPr>
                <w:b/>
              </w:rPr>
              <w:t>Introduction :</w:t>
            </w:r>
          </w:p>
          <w:p w:rsidR="00AA0F47" w:rsidRDefault="00AA0F47" w:rsidP="004B24B8"/>
          <w:p w:rsidR="00AA0F47" w:rsidRDefault="00AA0F47" w:rsidP="00AA0F47">
            <w:pPr>
              <w:numPr>
                <w:ilvl w:val="0"/>
                <w:numId w:val="2"/>
              </w:numPr>
              <w:spacing w:after="0" w:line="240" w:lineRule="auto"/>
            </w:pPr>
            <w:r>
              <w:t xml:space="preserve">La maîtrise de l’inflation comme contrainte des pays membres de la zone euro. </w:t>
            </w:r>
          </w:p>
          <w:p w:rsidR="00AA0F47" w:rsidRDefault="00AA0F47" w:rsidP="00AA0F47">
            <w:pPr>
              <w:numPr>
                <w:ilvl w:val="0"/>
                <w:numId w:val="2"/>
              </w:numPr>
              <w:spacing w:after="0" w:line="240" w:lineRule="auto"/>
            </w:pPr>
            <w:r>
              <w:t>Mais c’est une condition nécessaire mais nullement suffisante pour assurer la croissance et le plein emploi.</w:t>
            </w:r>
          </w:p>
          <w:p w:rsidR="00AA0F47" w:rsidRDefault="00AA0F47" w:rsidP="004B24B8"/>
          <w:p w:rsidR="00AA0F47" w:rsidRPr="00A177B5" w:rsidRDefault="00AA0F47" w:rsidP="004B24B8">
            <w:pPr>
              <w:rPr>
                <w:b/>
              </w:rPr>
            </w:pPr>
            <w:r w:rsidRPr="00A177B5">
              <w:rPr>
                <w:b/>
              </w:rPr>
              <w:t>Développement :</w:t>
            </w:r>
          </w:p>
          <w:p w:rsidR="00AA0F47" w:rsidRDefault="00AA0F47" w:rsidP="004B24B8"/>
          <w:p w:rsidR="00AA0F47" w:rsidRDefault="00AA0F47" w:rsidP="004B24B8">
            <w:pPr>
              <w:rPr>
                <w:b/>
              </w:rPr>
            </w:pPr>
            <w:r w:rsidRPr="00B96DEC">
              <w:rPr>
                <w:b/>
              </w:rPr>
              <w:t>La maîtrise de l’inflation est une contrainte imposée par la politique monétaire fixée le SEBC afin de crédibiliser et stabiliser la monnaie unique</w:t>
            </w:r>
            <w:r>
              <w:rPr>
                <w:b/>
              </w:rPr>
              <w:t>.</w:t>
            </w:r>
          </w:p>
          <w:p w:rsidR="00AA0F47" w:rsidRDefault="00AA0F47" w:rsidP="00AA0F47">
            <w:pPr>
              <w:numPr>
                <w:ilvl w:val="0"/>
                <w:numId w:val="6"/>
              </w:numPr>
              <w:spacing w:after="0" w:line="240" w:lineRule="auto"/>
              <w:rPr>
                <w:b/>
              </w:rPr>
            </w:pPr>
            <w:r>
              <w:t xml:space="preserve">Objectif principal de </w:t>
            </w:r>
            <w:smartTag w:uri="urn:schemas-microsoft-com:office:smarttags" w:element="PersonName">
              <w:smartTagPr>
                <w:attr w:name="ProductID" w:val="la BCE"/>
              </w:smartTagPr>
              <w:r>
                <w:t>la BCE</w:t>
              </w:r>
            </w:smartTag>
            <w:r>
              <w:t> : maintenir l’évolution de l’inflation autour de 2 %.</w:t>
            </w:r>
          </w:p>
          <w:p w:rsidR="00AA0F47" w:rsidRPr="00B96DEC" w:rsidRDefault="00AA0F47" w:rsidP="00AA0F47">
            <w:pPr>
              <w:numPr>
                <w:ilvl w:val="0"/>
                <w:numId w:val="3"/>
              </w:numPr>
              <w:spacing w:after="0" w:line="240" w:lineRule="auto"/>
              <w:rPr>
                <w:b/>
              </w:rPr>
            </w:pPr>
            <w:r>
              <w:t xml:space="preserve">Le taux directeur comme moyen d’action de </w:t>
            </w:r>
            <w:smartTag w:uri="urn:schemas-microsoft-com:office:smarttags" w:element="PersonName">
              <w:smartTagPr>
                <w:attr w:name="ProductID" w:val="la BCE."/>
              </w:smartTagPr>
              <w:r>
                <w:t>la BCE.</w:t>
              </w:r>
            </w:smartTag>
          </w:p>
          <w:p w:rsidR="00AA0F47" w:rsidRPr="00B96DEC" w:rsidRDefault="00AA0F47" w:rsidP="00AA0F47">
            <w:pPr>
              <w:numPr>
                <w:ilvl w:val="0"/>
                <w:numId w:val="3"/>
              </w:numPr>
              <w:spacing w:after="0" w:line="240" w:lineRule="auto"/>
              <w:rPr>
                <w:b/>
              </w:rPr>
            </w:pPr>
            <w:r>
              <w:t>Capacité à agir sur le marché monétaire et sur le refinancement bancaire.</w:t>
            </w:r>
          </w:p>
          <w:p w:rsidR="00AA0F47" w:rsidRPr="00B96DEC" w:rsidRDefault="00AA0F47" w:rsidP="00AA0F47">
            <w:pPr>
              <w:numPr>
                <w:ilvl w:val="0"/>
                <w:numId w:val="3"/>
              </w:numPr>
              <w:spacing w:after="0" w:line="240" w:lineRule="auto"/>
              <w:rPr>
                <w:b/>
              </w:rPr>
            </w:pPr>
            <w:r>
              <w:t>Rôle de prêteur en dernier ressors.</w:t>
            </w:r>
          </w:p>
          <w:p w:rsidR="00AA0F47" w:rsidRPr="00B96DEC" w:rsidRDefault="00AA0F47" w:rsidP="00AA0F47">
            <w:pPr>
              <w:numPr>
                <w:ilvl w:val="0"/>
                <w:numId w:val="3"/>
              </w:numPr>
              <w:spacing w:after="0" w:line="240" w:lineRule="auto"/>
              <w:rPr>
                <w:b/>
              </w:rPr>
            </w:pPr>
            <w:r>
              <w:t>Mais une contrainte pour certains pays membres.</w:t>
            </w:r>
          </w:p>
          <w:p w:rsidR="00AA0F47" w:rsidRDefault="00AA0F47" w:rsidP="004B24B8"/>
          <w:p w:rsidR="00AA0F47" w:rsidRDefault="00AA0F47" w:rsidP="004B24B8">
            <w:pPr>
              <w:rPr>
                <w:b/>
              </w:rPr>
            </w:pPr>
            <w:r w:rsidRPr="00B96DEC">
              <w:rPr>
                <w:b/>
              </w:rPr>
              <w:t xml:space="preserve">Les pouvoirs publics peuvent aussi agir sur niveau d’inflation grâce à des politiques structurelles </w:t>
            </w:r>
            <w:r>
              <w:rPr>
                <w:b/>
              </w:rPr>
              <w:t>qui conditionnent leurs politiques conjoncturelles.</w:t>
            </w:r>
          </w:p>
          <w:p w:rsidR="00AA0F47" w:rsidRDefault="00AA0F47" w:rsidP="00AA0F47">
            <w:pPr>
              <w:numPr>
                <w:ilvl w:val="0"/>
                <w:numId w:val="4"/>
              </w:numPr>
              <w:spacing w:after="0" w:line="240" w:lineRule="auto"/>
            </w:pPr>
            <w:r>
              <w:t>R</w:t>
            </w:r>
            <w:r w:rsidRPr="00B96DEC">
              <w:t>éduction du poids de l’Etat</w:t>
            </w:r>
            <w:r>
              <w:t xml:space="preserve"> (Actions sur la dette publique, réduction du nombre de fonctionnaire, recours à la productivité, externalisation de certaines activités…)</w:t>
            </w:r>
          </w:p>
          <w:p w:rsidR="00AA0F47" w:rsidRDefault="00AA0F47" w:rsidP="00AA0F47">
            <w:pPr>
              <w:numPr>
                <w:ilvl w:val="0"/>
                <w:numId w:val="4"/>
              </w:numPr>
              <w:spacing w:after="0" w:line="240" w:lineRule="auto"/>
            </w:pPr>
            <w:r>
              <w:t>Innovation (Education, Recherche, infrastructures…) afin de favoriser la productivité.</w:t>
            </w:r>
          </w:p>
          <w:p w:rsidR="00AA0F47" w:rsidRDefault="00AA0F47" w:rsidP="00AA0F47">
            <w:pPr>
              <w:numPr>
                <w:ilvl w:val="0"/>
                <w:numId w:val="4"/>
              </w:numPr>
              <w:spacing w:after="0" w:line="240" w:lineRule="auto"/>
            </w:pPr>
            <w:r w:rsidRPr="00B96DEC">
              <w:t>flexibilité du travai</w:t>
            </w:r>
            <w:r>
              <w:t>l (actions sur les salaires et la législation du travail) afin de répondre à des contraintes conjoncturelles.</w:t>
            </w:r>
          </w:p>
          <w:p w:rsidR="00AA0F47" w:rsidRDefault="00AA0F47" w:rsidP="004B24B8"/>
          <w:p w:rsidR="00AA0F47" w:rsidRPr="00A177B5" w:rsidRDefault="00AA0F47" w:rsidP="004B24B8">
            <w:pPr>
              <w:rPr>
                <w:b/>
              </w:rPr>
            </w:pPr>
            <w:r w:rsidRPr="00A177B5">
              <w:rPr>
                <w:b/>
              </w:rPr>
              <w:t>Cela conduit alors, les pouvoirs publics à utiliser plus efficacement les politiques budgétaires.</w:t>
            </w:r>
          </w:p>
          <w:p w:rsidR="00AA0F47" w:rsidRDefault="00AA0F47" w:rsidP="00AA0F47">
            <w:pPr>
              <w:numPr>
                <w:ilvl w:val="0"/>
                <w:numId w:val="5"/>
              </w:numPr>
              <w:spacing w:after="0" w:line="240" w:lineRule="auto"/>
            </w:pPr>
            <w:r>
              <w:t>Réduction des déficits de l’Etat (pacte de stabilité et de croissance, règle d’or…)</w:t>
            </w:r>
          </w:p>
          <w:p w:rsidR="00AA0F47" w:rsidRDefault="00AA0F47" w:rsidP="00AA0F47">
            <w:pPr>
              <w:numPr>
                <w:ilvl w:val="0"/>
                <w:numId w:val="5"/>
              </w:numPr>
              <w:spacing w:after="0" w:line="240" w:lineRule="auto"/>
            </w:pPr>
            <w:r>
              <w:t>Subventions aux entreprises faites de manière plus ciblées.</w:t>
            </w:r>
          </w:p>
          <w:p w:rsidR="00AA0F47" w:rsidRDefault="00AA0F47" w:rsidP="00AA0F47">
            <w:pPr>
              <w:numPr>
                <w:ilvl w:val="0"/>
                <w:numId w:val="5"/>
              </w:numPr>
              <w:spacing w:after="0" w:line="240" w:lineRule="auto"/>
            </w:pPr>
            <w:r>
              <w:t>Réduction des dépenses de l’Etat et des revenus de transferts.</w:t>
            </w:r>
          </w:p>
          <w:p w:rsidR="00AA0F47" w:rsidRDefault="00AA0F47" w:rsidP="00AA0F47">
            <w:pPr>
              <w:numPr>
                <w:ilvl w:val="0"/>
                <w:numId w:val="5"/>
              </w:numPr>
              <w:spacing w:after="0" w:line="240" w:lineRule="auto"/>
            </w:pPr>
            <w:r>
              <w:t>Ce qui conduit à une réduction de la demande globale et donc de l’inflation</w:t>
            </w:r>
          </w:p>
          <w:p w:rsidR="00AA0F47" w:rsidRDefault="00AA0F47" w:rsidP="004B24B8"/>
          <w:p w:rsidR="00AA0F47" w:rsidRDefault="00AA0F47" w:rsidP="004B24B8">
            <w:pPr>
              <w:rPr>
                <w:b/>
              </w:rPr>
            </w:pPr>
            <w:r w:rsidRPr="00A177B5">
              <w:rPr>
                <w:b/>
              </w:rPr>
              <w:t>Conclusion :</w:t>
            </w:r>
          </w:p>
          <w:p w:rsidR="00AA0F47" w:rsidRDefault="00AA0F47" w:rsidP="004B24B8">
            <w:pPr>
              <w:pStyle w:val="NormalWeb"/>
            </w:pPr>
            <w:r>
              <w:t>Les politiques de lutte contre le phénomène de l’inflation dans la zone euro existent bien et semblent être efficaces en dehors de crises économiques, mais elles n’ont pas, malheureusement permis d’agir positivement sur l’emploi et la croissance.</w:t>
            </w:r>
          </w:p>
        </w:tc>
      </w:tr>
      <w:tr w:rsidR="00AA0F47" w:rsidTr="004B24B8">
        <w:trPr>
          <w:tblCellSpacing w:w="0" w:type="dxa"/>
        </w:trPr>
        <w:tc>
          <w:tcPr>
            <w:tcW w:w="3315" w:type="dxa"/>
            <w:tcBorders>
              <w:top w:val="outset" w:sz="6" w:space="0" w:color="00000A"/>
              <w:left w:val="outset" w:sz="6" w:space="0" w:color="00000A"/>
              <w:bottom w:val="outset" w:sz="6" w:space="0" w:color="00000A"/>
              <w:right w:val="outset" w:sz="6" w:space="0" w:color="00000A"/>
            </w:tcBorders>
          </w:tcPr>
          <w:p w:rsidR="00AA0F47" w:rsidRDefault="00AA0F47" w:rsidP="004B24B8">
            <w:pPr>
              <w:pStyle w:val="NormalWeb"/>
              <w:spacing w:after="0"/>
            </w:pPr>
            <w:r>
              <w:rPr>
                <w:sz w:val="22"/>
                <w:szCs w:val="22"/>
              </w:rPr>
              <w:lastRenderedPageBreak/>
              <w:t>D - Rédiger en utilisant une écriture lisible, une expression claire et une présentation soignée distinguant les paragraphes.</w:t>
            </w:r>
          </w:p>
          <w:p w:rsidR="00AA0F47" w:rsidRDefault="00AA0F47" w:rsidP="004B24B8">
            <w:pPr>
              <w:pStyle w:val="NormalWeb"/>
            </w:pPr>
            <w:r>
              <w:lastRenderedPageBreak/>
              <w:t>(1 point)</w:t>
            </w:r>
          </w:p>
        </w:tc>
        <w:tc>
          <w:tcPr>
            <w:tcW w:w="6705" w:type="dxa"/>
            <w:tcBorders>
              <w:top w:val="outset" w:sz="6" w:space="0" w:color="00000A"/>
              <w:left w:val="outset" w:sz="6" w:space="0" w:color="00000A"/>
              <w:bottom w:val="outset" w:sz="6" w:space="0" w:color="00000A"/>
              <w:right w:val="outset" w:sz="6" w:space="0" w:color="00000A"/>
            </w:tcBorders>
          </w:tcPr>
          <w:p w:rsidR="00AA0F47" w:rsidRDefault="00AA0F47" w:rsidP="004B24B8"/>
        </w:tc>
      </w:tr>
    </w:tbl>
    <w:p w:rsidR="00AA0F47" w:rsidRDefault="00AA0F47" w:rsidP="00AA0F47">
      <w:pPr>
        <w:pStyle w:val="NormalWeb"/>
        <w:spacing w:after="0"/>
      </w:pPr>
      <w:r>
        <w:lastRenderedPageBreak/>
        <w:t>(1) Dans ces items la compréhension du sujet est évaluée.</w:t>
      </w:r>
    </w:p>
    <w:p w:rsidR="004A04CB" w:rsidRDefault="004A04CB"/>
    <w:sectPr w:rsidR="004A04CB" w:rsidSect="004A04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773E"/>
    <w:multiLevelType w:val="multilevel"/>
    <w:tmpl w:val="B3F4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A7A61"/>
    <w:multiLevelType w:val="hybridMultilevel"/>
    <w:tmpl w:val="674E97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EBA5D45"/>
    <w:multiLevelType w:val="hybridMultilevel"/>
    <w:tmpl w:val="DD4C32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FEC7E73"/>
    <w:multiLevelType w:val="hybridMultilevel"/>
    <w:tmpl w:val="AE22F8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5D67F76"/>
    <w:multiLevelType w:val="hybridMultilevel"/>
    <w:tmpl w:val="53542F2A"/>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6B055AE3"/>
    <w:multiLevelType w:val="hybridMultilevel"/>
    <w:tmpl w:val="E3B2BF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AA0F47"/>
    <w:rsid w:val="0013723B"/>
    <w:rsid w:val="004A04CB"/>
    <w:rsid w:val="00AA0F47"/>
    <w:rsid w:val="00CC3920"/>
    <w:rsid w:val="00FD3E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AA0F47"/>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2875</Characters>
  <Application>Microsoft Office Word</Application>
  <DocSecurity>0</DocSecurity>
  <Lines>23</Lines>
  <Paragraphs>6</Paragraphs>
  <ScaleCrop>false</ScaleCrop>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vergnole</dc:creator>
  <cp:lastModifiedBy>vergnole</cp:lastModifiedBy>
  <cp:revision>1</cp:revision>
  <dcterms:created xsi:type="dcterms:W3CDTF">2016-05-20T09:46:00Z</dcterms:created>
  <dcterms:modified xsi:type="dcterms:W3CDTF">2016-05-20T09:47:00Z</dcterms:modified>
</cp:coreProperties>
</file>