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73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88"/>
        <w:gridCol w:w="6911"/>
        <w:gridCol w:w="1274"/>
        <w:tblGridChange w:id="0">
          <w:tblGrid>
            <w:gridCol w:w="2588"/>
            <w:gridCol w:w="6911"/>
            <w:gridCol w:w="1274"/>
          </w:tblGrid>
        </w:tblGridChange>
      </w:tblGrid>
      <w:tr>
        <w:trPr>
          <w:trHeight w:val="694" w:hRule="atLeast"/>
        </w:trPr>
        <w:tc>
          <w:tcPr>
            <w:vMerge w:val="restart"/>
          </w:tcPr>
          <w:p w:rsidR="00000000" w:rsidDel="00000000" w:rsidP="00000000" w:rsidRDefault="00000000" w:rsidRPr="00000000" w14:paraId="0000000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rFonts w:ascii="Calibri" w:cs="Calibri" w:eastAsia="Calibri" w:hAnsi="Calibri"/>
                <w:b w:val="1"/>
                <w:color w:val="000000"/>
                <w:sz w:val="32"/>
                <w:szCs w:val="32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32"/>
                <w:szCs w:val="32"/>
                <w:rtl w:val="0"/>
              </w:rPr>
              <w:t xml:space="preserve">Séquence S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rFonts w:ascii="Calibri" w:cs="Calibri" w:eastAsia="Calibri" w:hAnsi="Calibri"/>
                <w:b w:val="1"/>
                <w:i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2"/>
                <w:szCs w:val="22"/>
                <w:rtl w:val="0"/>
              </w:rPr>
              <w:t xml:space="preserve">Comment limiter l'impact environnemental du numérique 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6"/>
                <w:szCs w:val="36"/>
                <w:rtl w:val="0"/>
              </w:rPr>
              <w:t xml:space="preserve">PLICKERS ACTIVITÉ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36"/>
                <w:szCs w:val="36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6"/>
                <w:szCs w:val="3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3333750</wp:posOffset>
                  </wp:positionH>
                  <wp:positionV relativeFrom="paragraph">
                    <wp:posOffset>0</wp:posOffset>
                  </wp:positionV>
                  <wp:extent cx="941070" cy="400837"/>
                  <wp:effectExtent b="0" l="0" r="0" t="0"/>
                  <wp:wrapNone/>
                  <wp:docPr descr="ttp://cache.media.education.gouv.fr/image/Logos/63/3/logo_academie_limoge_web_337633.jpg" id="28" name="image3.jpg"/>
                  <a:graphic>
                    <a:graphicData uri="http://schemas.openxmlformats.org/drawingml/2006/picture">
                      <pic:pic>
                        <pic:nvPicPr>
                          <pic:cNvPr descr="ttp://cache.media.education.gouv.fr/image/Logos/63/3/logo_academie_limoge_web_337633.jpg" id="0" name="image3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4008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0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rFonts w:ascii="Calibri" w:cs="Calibri" w:eastAsia="Calibri" w:hAnsi="Calibri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8"/>
                <w:szCs w:val="28"/>
                <w:rtl w:val="0"/>
              </w:rPr>
              <w:t xml:space="preserve">Cycle 4</w:t>
            </w:r>
          </w:p>
          <w:p w:rsidR="00000000" w:rsidDel="00000000" w:rsidP="00000000" w:rsidRDefault="00000000" w:rsidRPr="00000000" w14:paraId="0000000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rFonts w:ascii="Calibri" w:cs="Calibri" w:eastAsia="Calibri" w:hAnsi="Calibri"/>
                <w:color w:val="000000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6"/>
                <w:szCs w:val="36"/>
                <w:rtl w:val="0"/>
              </w:rPr>
              <w:t xml:space="preserve">4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36"/>
                <w:szCs w:val="36"/>
                <w:rtl w:val="0"/>
              </w:rPr>
              <w:t xml:space="preserve">ème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9" w:hRule="atLeast"/>
        </w:trPr>
        <w:tc>
          <w:tcPr>
            <w:vMerge w:val="continue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0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Quelles sont les solutions existantes permettant de limiter la pollution des data center 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Helvetica Neue" w:cs="Helvetica Neue" w:eastAsia="Helvetica Neue" w:hAnsi="Helvetica Neue"/>
          <w:color w:val="000000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73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59"/>
        <w:gridCol w:w="9914"/>
        <w:tblGridChange w:id="0">
          <w:tblGrid>
            <w:gridCol w:w="859"/>
            <w:gridCol w:w="9914"/>
          </w:tblGrid>
        </w:tblGridChange>
      </w:tblGrid>
      <w:tr>
        <w:trPr>
          <w:trHeight w:val="448" w:hRule="atLeast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00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7" w:hRule="atLeast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0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0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Calibri" w:cs="Calibri" w:eastAsia="Calibri" w:hAnsi="Calibri"/>
                <w:color w:val="000000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jc w:val="center"/>
        <w:rPr>
          <w:rFonts w:ascii="Quattrocento Sans" w:cs="Quattrocento Sans" w:eastAsia="Quattrocento Sans" w:hAnsi="Quattrocento San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Quattrocento Sans" w:cs="Quattrocento Sans" w:eastAsia="Quattrocento Sans" w:hAnsi="Quattrocento Sans"/>
          <w:sz w:val="36"/>
          <w:szCs w:val="36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36"/>
          <w:szCs w:val="36"/>
          <w:rtl w:val="0"/>
        </w:rPr>
        <w:t xml:space="preserve">Evaluation formative en début de séance avec l’application Plickers.</w:t>
      </w:r>
    </w:p>
    <w:p w:rsidR="00000000" w:rsidDel="00000000" w:rsidP="00000000" w:rsidRDefault="00000000" w:rsidRPr="00000000" w14:paraId="00000012">
      <w:pPr>
        <w:rPr>
          <w:rFonts w:ascii="Quattrocento Sans" w:cs="Quattrocento Sans" w:eastAsia="Quattrocento Sans" w:hAnsi="Quattrocento Sans"/>
          <w:sz w:val="36"/>
          <w:szCs w:val="36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36"/>
          <w:szCs w:val="36"/>
          <w:rtl w:val="0"/>
        </w:rPr>
        <w:t xml:space="preserve">Au préalable, sur le principe de la classe inversée, les élèves ont visionné une vidéo ressource : “l’essentiel sur les data-center”</w:t>
      </w:r>
    </w:p>
    <w:p w:rsidR="00000000" w:rsidDel="00000000" w:rsidP="00000000" w:rsidRDefault="00000000" w:rsidRPr="00000000" w14:paraId="00000013">
      <w:pPr>
        <w:rPr>
          <w:rFonts w:ascii="Quattrocento Sans" w:cs="Quattrocento Sans" w:eastAsia="Quattrocento Sans" w:hAnsi="Quattrocento Sans"/>
          <w:sz w:val="36"/>
          <w:szCs w:val="36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36"/>
          <w:szCs w:val="36"/>
          <w:rtl w:val="0"/>
        </w:rPr>
        <w:t xml:space="preserve">(</w:t>
      </w:r>
      <w:hyperlink r:id="rId8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Datacenter : comprendre l'essentiel en 9 minutes (avec une belle visite en prime!)</w:t>
        </w:r>
      </w:hyperlink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Quattrocento Sans" w:cs="Quattrocento Sans" w:eastAsia="Quattrocento Sans" w:hAnsi="Quattrocento San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left"/>
        <w:rPr>
          <w:rFonts w:ascii="Quattrocento Sans" w:cs="Quattrocento Sans" w:eastAsia="Quattrocento Sans" w:hAnsi="Quattrocento San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Quattrocento Sans" w:cs="Quattrocento Sans" w:eastAsia="Quattrocento Sans" w:hAnsi="Quattrocento Sans"/>
          <w:sz w:val="36"/>
          <w:szCs w:val="36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36"/>
          <w:szCs w:val="36"/>
        </w:rPr>
        <w:drawing>
          <wp:inline distB="114300" distT="114300" distL="114300" distR="114300">
            <wp:extent cx="3352800" cy="1362075"/>
            <wp:effectExtent b="0" l="0" r="0" t="0"/>
            <wp:docPr id="2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362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Quattrocento Sans" w:cs="Quattrocento Sans" w:eastAsia="Quattrocento Sans" w:hAnsi="Quattrocento San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Quattrocento Sans" w:cs="Quattrocento Sans" w:eastAsia="Quattrocento Sans" w:hAnsi="Quattrocento Sans"/>
          <w:sz w:val="36"/>
          <w:szCs w:val="36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36"/>
          <w:szCs w:val="36"/>
        </w:rPr>
        <w:drawing>
          <wp:inline distB="114300" distT="114300" distL="114300" distR="114300">
            <wp:extent cx="6839910" cy="3771900"/>
            <wp:effectExtent b="0" l="0" r="0" t="0"/>
            <wp:docPr id="3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910" cy="377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6838" w:w="11906" w:orient="portrait"/>
      <w:pgMar w:bottom="567" w:top="454" w:left="567" w:right="567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left="6480" w:firstLine="0"/>
      <w:rPr>
        <w:rFonts w:ascii="Helvetica Neue" w:cs="Helvetica Neue" w:eastAsia="Helvetica Neue" w:hAnsi="Helvetica Neue"/>
        <w:color w:val="000000"/>
        <w:sz w:val="22"/>
        <w:szCs w:val="22"/>
      </w:rPr>
    </w:pPr>
    <w:r w:rsidDel="00000000" w:rsidR="00000000" w:rsidRPr="00000000">
      <w:rPr>
        <w:rFonts w:ascii="Helvetica Neue" w:cs="Helvetica Neue" w:eastAsia="Helvetica Neue" w:hAnsi="Helvetica Neue"/>
        <w:i w:val="1"/>
        <w:color w:val="000000"/>
        <w:sz w:val="12"/>
        <w:szCs w:val="12"/>
        <w:rtl w:val="0"/>
      </w:rPr>
      <w:t xml:space="preserve">@ Loïc BERNARD-MASSIAS -Jérôme ANTONY – Nathalie VIDAL – Laurent CHASTAIN ERR Technologie 2020-2021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36"/>
        <w:tab w:val="right" w:pos="9072"/>
      </w:tabs>
      <w:rPr>
        <w:color w:val="000000"/>
        <w:sz w:val="6"/>
        <w:szCs w:val="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36"/>
        <w:tab w:val="right" w:pos="9072"/>
      </w:tabs>
      <w:rPr>
        <w:color w:val="000000"/>
        <w:sz w:val="4"/>
        <w:szCs w:val="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615CDA"/>
    <w:rPr>
      <w:lang w:eastAsia="en-US" w:val="en-US"/>
    </w:rPr>
  </w:style>
  <w:style w:type="paragraph" w:styleId="Titre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re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re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re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itre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re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r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Lienhypertexte">
    <w:name w:val="Hyperlink"/>
    <w:rsid w:val="00615CDA"/>
    <w:rPr>
      <w:u w:val="single"/>
    </w:rPr>
  </w:style>
  <w:style w:type="table" w:styleId="TableNormal0" w:customStyle="1">
    <w:name w:val="Table Normal"/>
    <w:rsid w:val="00615CDA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orps" w:customStyle="1">
    <w:name w:val="Corps"/>
    <w:rsid w:val="00615CDA"/>
    <w:rPr>
      <w:rFonts w:ascii="Helvetica" w:cs="Arial Unicode MS" w:hAnsi="Helvetica"/>
      <w:color w:val="000000"/>
      <w:sz w:val="22"/>
      <w:szCs w:val="22"/>
    </w:rPr>
  </w:style>
  <w:style w:type="paragraph" w:styleId="tiquettefonce" w:customStyle="1">
    <w:name w:val="Étiquette foncée"/>
    <w:rsid w:val="00615CDA"/>
    <w:pPr>
      <w:jc w:val="center"/>
    </w:pPr>
    <w:rPr>
      <w:rFonts w:ascii="Helvetica Light" w:cs="Arial Unicode MS" w:hAnsi="Helvetica Light"/>
      <w:color w:val="000000"/>
    </w:rPr>
  </w:style>
  <w:style w:type="paragraph" w:styleId="tiquette" w:customStyle="1">
    <w:name w:val="Étiquette"/>
    <w:rsid w:val="00615CDA"/>
    <w:pPr>
      <w:jc w:val="center"/>
    </w:pPr>
    <w:rPr>
      <w:rFonts w:ascii="Helvetica" w:cs="Arial Unicode MS" w:hAnsi="Helvetica"/>
      <w:color w:val="fefefe"/>
    </w:rPr>
  </w:style>
  <w:style w:type="paragraph" w:styleId="Styledetableau2" w:customStyle="1">
    <w:name w:val="Style de tableau 2"/>
    <w:rsid w:val="00615CDA"/>
    <w:rPr>
      <w:rFonts w:ascii="Helvetica" w:cs="Helvetica" w:eastAsia="Helvetica" w:hAnsi="Helvetica"/>
      <w:color w:val="000000"/>
    </w:rPr>
  </w:style>
  <w:style w:type="paragraph" w:styleId="Pardfaut" w:customStyle="1">
    <w:name w:val="Par défaut"/>
    <w:rsid w:val="00615CDA"/>
    <w:rPr>
      <w:rFonts w:ascii="Helvetica" w:cs="Helvetica" w:eastAsia="Helvetica" w:hAnsi="Helvetica"/>
      <w:color w:val="000000"/>
      <w:sz w:val="22"/>
      <w:szCs w:val="22"/>
    </w:rPr>
  </w:style>
  <w:style w:type="table" w:styleId="Grilledutableau">
    <w:name w:val="Table Grid"/>
    <w:basedOn w:val="TableauNormal"/>
    <w:uiPriority w:val="59"/>
    <w:rsid w:val="001B2D0B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1B2D0B"/>
    <w:rPr>
      <w:rFonts w:ascii="Lucida Grande" w:cs="Lucida Grande" w:hAnsi="Lucida Grande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1B2D0B"/>
    <w:rPr>
      <w:rFonts w:ascii="Lucida Grande" w:cs="Lucida Grande" w:hAnsi="Lucida Grande"/>
      <w:sz w:val="18"/>
      <w:szCs w:val="18"/>
      <w:lang w:eastAsia="en-US" w:val="en-US"/>
    </w:rPr>
  </w:style>
  <w:style w:type="paragraph" w:styleId="En-tte">
    <w:name w:val="header"/>
    <w:basedOn w:val="Normal"/>
    <w:link w:val="En-tteCar"/>
    <w:uiPriority w:val="99"/>
    <w:unhideWhenUsed w:val="1"/>
    <w:rsid w:val="000A73D6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0A73D6"/>
    <w:rPr>
      <w:sz w:val="24"/>
      <w:szCs w:val="24"/>
      <w:lang w:eastAsia="en-US" w:val="en-US"/>
    </w:rPr>
  </w:style>
  <w:style w:type="paragraph" w:styleId="Pieddepage">
    <w:name w:val="footer"/>
    <w:basedOn w:val="Normal"/>
    <w:link w:val="PieddepageCar"/>
    <w:uiPriority w:val="99"/>
    <w:unhideWhenUsed w:val="1"/>
    <w:rsid w:val="000A73D6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0A73D6"/>
    <w:rPr>
      <w:sz w:val="24"/>
      <w:szCs w:val="24"/>
      <w:lang w:eastAsia="en-US" w:val="en-US"/>
    </w:rPr>
  </w:style>
  <w:style w:type="character" w:styleId="lev">
    <w:name w:val="Strong"/>
    <w:basedOn w:val="Policepardfaut"/>
    <w:uiPriority w:val="22"/>
    <w:qFormat w:val="1"/>
    <w:rsid w:val="006E295B"/>
    <w:rPr>
      <w:b w:val="1"/>
      <w:bCs w:val="1"/>
    </w:rPr>
  </w:style>
  <w:style w:type="paragraph" w:styleId="NormalWeb">
    <w:name w:val="Normal (Web)"/>
    <w:basedOn w:val="Normal"/>
    <w:uiPriority w:val="99"/>
    <w:unhideWhenUsed w:val="1"/>
    <w:rsid w:val="00D378C1"/>
    <w:pPr>
      <w:spacing w:after="100" w:afterAutospacing="1" w:before="100" w:beforeAutospacing="1"/>
    </w:pPr>
    <w:rPr>
      <w:lang w:eastAsia="zh-CN" w:val="fr-FR"/>
    </w:rPr>
  </w:style>
  <w:style w:type="paragraph" w:styleId="Paragraphedeliste">
    <w:name w:val="List Paragraph"/>
    <w:basedOn w:val="Normal"/>
    <w:uiPriority w:val="34"/>
    <w:qFormat w:val="1"/>
    <w:rsid w:val="0060111B"/>
    <w:pPr>
      <w:ind w:left="720"/>
      <w:contextualSpacing w:val="1"/>
    </w:pPr>
  </w:style>
  <w:style w:type="character" w:styleId="normaltextrun" w:customStyle="1">
    <w:name w:val="normaltextrun"/>
    <w:basedOn w:val="Policepardfaut"/>
    <w:rsid w:val="00666E84"/>
  </w:style>
  <w:style w:type="character" w:styleId="eop" w:customStyle="1">
    <w:name w:val="eop"/>
    <w:basedOn w:val="Policepardfaut"/>
    <w:rsid w:val="00666E84"/>
  </w:style>
  <w:style w:type="paragraph" w:styleId="paragraph" w:customStyle="1">
    <w:name w:val="paragraph"/>
    <w:basedOn w:val="Normal"/>
    <w:rsid w:val="00666E84"/>
    <w:pPr>
      <w:spacing w:after="100" w:afterAutospacing="1" w:before="100" w:beforeAutospacing="1"/>
    </w:pPr>
    <w:rPr>
      <w:lang w:eastAsia="zh-CN" w:val="fr-FR"/>
    </w:rPr>
  </w:style>
  <w:style w:type="character" w:styleId="apple-converted-space" w:customStyle="1">
    <w:name w:val="apple-converted-space"/>
    <w:basedOn w:val="Policepardfaut"/>
    <w:rsid w:val="00A763D4"/>
  </w:style>
  <w:style w:type="character" w:styleId="pagebreaktextspan" w:customStyle="1">
    <w:name w:val="pagebreaktextspan"/>
    <w:basedOn w:val="Policepardfaut"/>
    <w:rsid w:val="00A763D4"/>
  </w:style>
  <w:style w:type="character" w:styleId="Marquedecommentaire">
    <w:name w:val="annotation reference"/>
    <w:basedOn w:val="Policepardfaut"/>
    <w:uiPriority w:val="99"/>
    <w:semiHidden w:val="1"/>
    <w:unhideWhenUsed w:val="1"/>
    <w:rsid w:val="009523F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 w:val="1"/>
    <w:unhideWhenUsed w:val="1"/>
    <w:rsid w:val="009523F2"/>
    <w:rPr>
      <w:sz w:val="20"/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semiHidden w:val="1"/>
    <w:rsid w:val="009523F2"/>
    <w:rPr>
      <w:lang w:eastAsia="en-US"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 w:val="1"/>
    <w:unhideWhenUsed w:val="1"/>
    <w:rsid w:val="009523F2"/>
    <w:rPr>
      <w:b w:val="1"/>
      <w:bCs w:val="1"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 w:val="1"/>
    <w:rsid w:val="009523F2"/>
    <w:rPr>
      <w:b w:val="1"/>
      <w:bCs w:val="1"/>
      <w:lang w:eastAsia="en-US" w:val="en-US"/>
    </w:rPr>
  </w:style>
  <w:style w:type="paragraph" w:styleId="Sous-titr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character" w:styleId="Mentionnonrsolue">
    <w:name w:val="Unresolved Mention"/>
    <w:basedOn w:val="Policepardfaut"/>
    <w:uiPriority w:val="99"/>
    <w:semiHidden w:val="1"/>
    <w:unhideWhenUsed w:val="1"/>
    <w:rsid w:val="0023366F"/>
    <w:rPr>
      <w:color w:val="605e5c"/>
      <w:shd w:color="auto" w:fill="e1dfdd" w:val="clear"/>
    </w:rPr>
  </w:style>
  <w:style w:type="character" w:styleId="Lienhypertextesuivivisit">
    <w:name w:val="FollowedHyperlink"/>
    <w:basedOn w:val="Policepardfaut"/>
    <w:uiPriority w:val="99"/>
    <w:semiHidden w:val="1"/>
    <w:unhideWhenUsed w:val="1"/>
    <w:rsid w:val="0051612D"/>
    <w:rPr>
      <w:color w:val="ff00ff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4.png"/><Relationship Id="rId12" Type="http://schemas.openxmlformats.org/officeDocument/2006/relationships/footer" Target="footer1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hyperlink" Target="https://www.youtube.com/watch?v=rO6bXt7d2L8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nU7V/QjgJuHiFvjrchR66BW7cUg==">AMUW2mWGL29u6D69Irubtwol8RlWaQbOV17+GvYKZsagcbNioZKL+Uf/P/+zox45WMa7L5SS8Rg//vlG194dm0ZO/VzBI6UuFTy3C72ZtfLugV1Bu5q70AgXJ2EH9C4AMLPViTaUJL8F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2021-04-15T07:01:00Z</dcterms:created>
  <dc:creator>Emmanuel Berthumeyrie</dc:creator>
</cp:coreProperties>
</file>