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90"/>
        <w:gridCol w:w="6910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B06D9D" w:rsidRPr="00B06D9D" w:rsidRDefault="00924AB2" w:rsidP="00B72C0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6"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</w:t>
            </w:r>
            <w:r w:rsidR="008758BE">
              <w:rPr>
                <w:rFonts w:ascii="Calibri" w:hAnsi="Calibri" w:cs="Euphemia UCAS"/>
                <w:b/>
                <w:sz w:val="36"/>
              </w:rPr>
              <w:t>3</w:t>
            </w:r>
            <w:r w:rsidR="004E2CE6">
              <w:rPr>
                <w:rFonts w:ascii="Calibri" w:hAnsi="Calibri" w:cs="Euphemia UCAS"/>
                <w:b/>
                <w:sz w:val="36"/>
              </w:rPr>
              <w:t xml:space="preserve"> </w:t>
            </w:r>
            <w:r w:rsidR="004E2CE6" w:rsidRPr="004E2CE6">
              <w:rPr>
                <w:rFonts w:ascii="Calibri" w:hAnsi="Calibri" w:cs="Euphemia UCAS"/>
                <w:b/>
                <w:color w:val="FF0000"/>
                <w:sz w:val="36"/>
              </w:rPr>
              <w:t>corrigée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F5049F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F5049F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4533"/>
        <w:gridCol w:w="5385"/>
      </w:tblGrid>
      <w:tr w:rsidR="001B2D0B" w:rsidRPr="005065DE" w:rsidTr="00B72C00">
        <w:trPr>
          <w:trHeight w:val="448"/>
          <w:jc w:val="center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B72C00" w:rsidRPr="008D041C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Pr="007619DE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4.2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Appliquer les principes élémentaires de l’algorithmique et du codage à la résolution d’un problème simple.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Déclenchement d'une action par un événement, séquences d'instructions, boucles, instructions conditionnelles.</w:t>
            </w:r>
          </w:p>
        </w:tc>
      </w:tr>
      <w:tr w:rsidR="00B72C00" w:rsidRPr="008D041C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5.5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Modifier ou paramétrer le fonctionnement d’un objet communicant.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Notion de variable informatique. Déclenchement d'une action par un événement, séquences d'instructions, boucles, instructions conditionnelles. Systèmes embarqués. Forme et transmission du signal.</w:t>
            </w:r>
          </w:p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Capteur, actionneur, interface.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1C6248" w:rsidRPr="001C6248" w:rsidRDefault="001C6248" w:rsidP="001C6248">
      <w:pPr>
        <w:ind w:right="23"/>
        <w:jc w:val="both"/>
        <w:rPr>
          <w:rFonts w:ascii="Arial" w:hAnsi="Arial" w:cs="Arial"/>
          <w:b/>
          <w:lang w:val="fr-FR"/>
        </w:rPr>
      </w:pPr>
      <w:r w:rsidRPr="001C6248">
        <w:rPr>
          <w:rFonts w:ascii="Arial" w:hAnsi="Arial" w:cs="Arial"/>
          <w:b/>
          <w:u w:val="double"/>
          <w:lang w:val="fr-FR"/>
        </w:rPr>
        <w:t>Question directrice :</w:t>
      </w:r>
      <w:r w:rsidRPr="001C6248">
        <w:rPr>
          <w:rFonts w:ascii="Arial" w:hAnsi="Arial" w:cs="Arial"/>
          <w:b/>
          <w:lang w:val="fr-FR"/>
        </w:rPr>
        <w:t xml:space="preserve"> Comment programmer un robot afin qu'il avance en évitant des obstacles et qu'il s'arrête au troisième obstacle détecté ? </w:t>
      </w:r>
    </w:p>
    <w:p w:rsidR="001C6248" w:rsidRPr="001C6248" w:rsidRDefault="001C6248" w:rsidP="001C6248">
      <w:pPr>
        <w:ind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1C6248" w:rsidRPr="001C6248" w:rsidRDefault="001C6248" w:rsidP="001C6248">
      <w:pPr>
        <w:ind w:right="23"/>
        <w:jc w:val="both"/>
        <w:rPr>
          <w:rFonts w:ascii="Arial" w:hAnsi="Arial" w:cs="Arial"/>
          <w:sz w:val="18"/>
          <w:szCs w:val="18"/>
          <w:lang w:val="fr-FR"/>
        </w:rPr>
      </w:pPr>
      <w:r w:rsidRPr="001C6248">
        <w:rPr>
          <w:sz w:val="22"/>
          <w:szCs w:val="22"/>
          <w:lang w:val="fr-FR"/>
        </w:rPr>
        <w:t xml:space="preserve">→ </w:t>
      </w:r>
      <w:r w:rsidRPr="001C6248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1C6248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1C6248" w:rsidRPr="001C6248" w:rsidRDefault="001C6248" w:rsidP="001C6248">
      <w:pPr>
        <w:ind w:right="23"/>
        <w:jc w:val="center"/>
        <w:rPr>
          <w:rFonts w:ascii="Arial" w:hAnsi="Arial" w:cs="Arial"/>
          <w:sz w:val="12"/>
          <w:szCs w:val="12"/>
          <w:lang w:val="fr-FR"/>
        </w:rPr>
      </w:pPr>
    </w:p>
    <w:p w:rsidR="00DB7A4D" w:rsidRDefault="007142EC" w:rsidP="007142EC">
      <w:pPr>
        <w:ind w:right="23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>
            <wp:extent cx="4191000" cy="50800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1C" w:rsidRPr="001C6248" w:rsidRDefault="008D041C" w:rsidP="007142EC">
      <w:pPr>
        <w:ind w:right="23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16"/>
          <w:szCs w:val="16"/>
          <w:lang w:val="fr-FR" w:eastAsia="fr-FR"/>
        </w:rPr>
        <w:lastRenderedPageBreak/>
        <w:drawing>
          <wp:inline distT="0" distB="0" distL="0" distR="0">
            <wp:extent cx="6324600" cy="47117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41C" w:rsidRPr="001C6248" w:rsidSect="000A73D6">
      <w:head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9D" w:rsidRDefault="00A4259D">
      <w:r>
        <w:separator/>
      </w:r>
    </w:p>
  </w:endnote>
  <w:endnote w:type="continuationSeparator" w:id="0">
    <w:p w:rsidR="00A4259D" w:rsidRDefault="00A4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9D" w:rsidRDefault="00A4259D">
      <w:r>
        <w:separator/>
      </w:r>
    </w:p>
  </w:footnote>
  <w:footnote w:type="continuationSeparator" w:id="0">
    <w:p w:rsidR="00A4259D" w:rsidRDefault="00A4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9D3FCE"/>
    <w:multiLevelType w:val="hybridMultilevel"/>
    <w:tmpl w:val="B9B6EB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5">
    <w:nsid w:val="716169C0"/>
    <w:multiLevelType w:val="hybridMultilevel"/>
    <w:tmpl w:val="53E4BDA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1A"/>
    <w:rsid w:val="00015234"/>
    <w:rsid w:val="00041864"/>
    <w:rsid w:val="000832D5"/>
    <w:rsid w:val="000A73D6"/>
    <w:rsid w:val="0013355B"/>
    <w:rsid w:val="001650D2"/>
    <w:rsid w:val="001B2D0B"/>
    <w:rsid w:val="001C6248"/>
    <w:rsid w:val="00302BC8"/>
    <w:rsid w:val="00327F20"/>
    <w:rsid w:val="00353CD8"/>
    <w:rsid w:val="004A0687"/>
    <w:rsid w:val="004C4EFA"/>
    <w:rsid w:val="004E2CE6"/>
    <w:rsid w:val="005065DE"/>
    <w:rsid w:val="0054441B"/>
    <w:rsid w:val="00590FE9"/>
    <w:rsid w:val="005B16EA"/>
    <w:rsid w:val="005E6860"/>
    <w:rsid w:val="005F531F"/>
    <w:rsid w:val="0062006F"/>
    <w:rsid w:val="006264E3"/>
    <w:rsid w:val="00645461"/>
    <w:rsid w:val="006E206D"/>
    <w:rsid w:val="006E295B"/>
    <w:rsid w:val="007142EC"/>
    <w:rsid w:val="00744155"/>
    <w:rsid w:val="00747B77"/>
    <w:rsid w:val="007A6A1A"/>
    <w:rsid w:val="00810946"/>
    <w:rsid w:val="008758BE"/>
    <w:rsid w:val="00890ADC"/>
    <w:rsid w:val="008B38BB"/>
    <w:rsid w:val="008D041C"/>
    <w:rsid w:val="00906EED"/>
    <w:rsid w:val="00924AB2"/>
    <w:rsid w:val="00A07F70"/>
    <w:rsid w:val="00A24C96"/>
    <w:rsid w:val="00A4259D"/>
    <w:rsid w:val="00A67B0E"/>
    <w:rsid w:val="00AF7A39"/>
    <w:rsid w:val="00B06D9D"/>
    <w:rsid w:val="00B61CE0"/>
    <w:rsid w:val="00B72C00"/>
    <w:rsid w:val="00D05A0E"/>
    <w:rsid w:val="00D21FE5"/>
    <w:rsid w:val="00D632AE"/>
    <w:rsid w:val="00DB7A4D"/>
    <w:rsid w:val="00E1088D"/>
    <w:rsid w:val="00E31E59"/>
    <w:rsid w:val="00F5049F"/>
    <w:rsid w:val="00F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C6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FFDAD-B9CB-43AD-B546-1A607290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6</cp:revision>
  <dcterms:created xsi:type="dcterms:W3CDTF">2016-12-10T17:10:00Z</dcterms:created>
  <dcterms:modified xsi:type="dcterms:W3CDTF">2017-01-29T16:09:00Z</dcterms:modified>
</cp:coreProperties>
</file>