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202" coordsize="21600,21600" o:spt="202.0" path="m,l,21600r21600,l21600,xe">
            <v:stroke joinstyle="miter"/>
            <v:path o:connecttype="rect" gradientshapeok="t"/>
          </v:shapetype>
        </w:pict>
      </w:r>
    </w:p>
    <w:p w:rsidR="00000000" w:rsidDel="00000000" w:rsidP="00000000" w:rsidRDefault="00000000" w:rsidRPr="00000000" w14:paraId="0000000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Garamond" w:cs="Garamond" w:eastAsia="Garamond" w:hAnsi="Garamond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d9d9d9" w:val="clear"/>
        <w:jc w:val="center"/>
        <w:rPr>
          <w:rFonts w:ascii="Garamond" w:cs="Garamond" w:eastAsia="Garamond" w:hAnsi="Garamond"/>
          <w:color w:val="000000"/>
          <w:sz w:val="36"/>
          <w:szCs w:val="36"/>
        </w:rPr>
      </w:pPr>
      <w:r w:rsidDel="00000000" w:rsidR="00000000" w:rsidRPr="00000000">
        <w:rPr>
          <w:rFonts w:ascii="Garamond" w:cs="Garamond" w:eastAsia="Garamond" w:hAnsi="Garamond"/>
          <w:color w:val="000000"/>
          <w:sz w:val="36"/>
          <w:szCs w:val="36"/>
          <w:rtl w:val="0"/>
        </w:rPr>
        <w:t xml:space="preserve">COSMÉTIQUE</w:t>
      </w:r>
    </w:p>
    <w:p w:rsidR="00000000" w:rsidDel="00000000" w:rsidP="00000000" w:rsidRDefault="00000000" w:rsidRPr="00000000" w14:paraId="00000005">
      <w:pPr>
        <w:shd w:fill="d9d9d9" w:val="clear"/>
        <w:jc w:val="center"/>
        <w:rPr>
          <w:rFonts w:ascii="Garamond" w:cs="Garamond" w:eastAsia="Garamond" w:hAnsi="Garamond"/>
          <w:sz w:val="28"/>
          <w:szCs w:val="28"/>
        </w:rPr>
      </w:pPr>
      <w:r w:rsidDel="00000000" w:rsidR="00000000" w:rsidRPr="00000000">
        <w:rPr>
          <w:rFonts w:ascii="Garamond" w:cs="Garamond" w:eastAsia="Garamond" w:hAnsi="Garamond"/>
          <w:sz w:val="28"/>
          <w:szCs w:val="28"/>
          <w:rtl w:val="0"/>
        </w:rPr>
        <w:t xml:space="preserve">Suivi de l’efficacité de conservateurs naturels</w:t>
      </w:r>
    </w:p>
    <w:p w:rsidR="00000000" w:rsidDel="00000000" w:rsidP="00000000" w:rsidRDefault="00000000" w:rsidRPr="00000000" w14:paraId="00000006">
      <w:pPr>
        <w:shd w:fill="d9d9d9" w:val="clear"/>
        <w:jc w:val="center"/>
        <w:rPr>
          <w:rFonts w:ascii="Garamond" w:cs="Garamond" w:eastAsia="Garamond" w:hAnsi="Garamond"/>
          <w:sz w:val="28"/>
          <w:szCs w:val="28"/>
        </w:rPr>
      </w:pPr>
      <w:r w:rsidDel="00000000" w:rsidR="00000000" w:rsidRPr="00000000">
        <w:rPr>
          <w:rFonts w:ascii="Garamond" w:cs="Garamond" w:eastAsia="Garamond" w:hAnsi="Garamond"/>
          <w:sz w:val="28"/>
          <w:szCs w:val="28"/>
          <w:rtl w:val="0"/>
        </w:rPr>
        <w:t xml:space="preserve">Coloration au Bleu de Méthylène (3/3)</w:t>
      </w:r>
    </w:p>
    <w:p w:rsidR="00000000" w:rsidDel="00000000" w:rsidP="00000000" w:rsidRDefault="00000000" w:rsidRPr="00000000" w14:paraId="00000007">
      <w:pPr>
        <w:shd w:fill="d9d9d9" w:val="clear"/>
        <w:jc w:val="center"/>
        <w:rPr>
          <w:rFonts w:ascii="Garamond" w:cs="Garamond" w:eastAsia="Garamond" w:hAnsi="Garamond"/>
          <w:sz w:val="28"/>
          <w:szCs w:val="28"/>
        </w:rPr>
      </w:pPr>
      <w:r w:rsidDel="00000000" w:rsidR="00000000" w:rsidRPr="00000000">
        <w:rPr>
          <w:rFonts w:ascii="Garamond" w:cs="Garamond" w:eastAsia="Garamond" w:hAnsi="Garamond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8">
      <w:pPr>
        <w:ind w:firstLine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firstLine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Cette partie permet de conclure quant à l’efficacité des conservateurs naturels et d’observer un potentiel contaminant d’un produit cosmétique.</w:t>
      </w:r>
    </w:p>
    <w:p w:rsidR="00000000" w:rsidDel="00000000" w:rsidP="00000000" w:rsidRDefault="00000000" w:rsidRPr="00000000" w14:paraId="0000000A">
      <w:pPr>
        <w:ind w:firstLine="360"/>
        <w:jc w:val="both"/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firstLine="360"/>
        <w:jc w:val="both"/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Test d’efficacité des conservateurs.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  <w:rtl w:val="0"/>
        </w:rPr>
        <w:t xml:space="preserve">Observer le lait corporel au bout d’une semaine et compléter le tableau ci-dessous.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  <w:rtl w:val="0"/>
        </w:rPr>
        <w:t xml:space="preserve">Observer la croissance bactérienne sur les géloses nutritives, renseigner le tableau et conclure sur l’efficacité des conservateurs naturels.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firstLine="360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06.999999999998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46"/>
        <w:gridCol w:w="1923"/>
        <w:gridCol w:w="2552"/>
        <w:gridCol w:w="1843"/>
        <w:gridCol w:w="1843"/>
        <w:tblGridChange w:id="0">
          <w:tblGrid>
            <w:gridCol w:w="2046"/>
            <w:gridCol w:w="1923"/>
            <w:gridCol w:w="2552"/>
            <w:gridCol w:w="1843"/>
            <w:gridCol w:w="1843"/>
          </w:tblGrid>
        </w:tblGridChange>
      </w:tblGrid>
      <w:tr>
        <w:trPr>
          <w:cantSplit w:val="0"/>
          <w:trHeight w:val="66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1">
            <w:pPr>
              <w:jc w:val="center"/>
              <w:rPr>
                <w:rFonts w:ascii="Calibri" w:cs="Calibri" w:eastAsia="Calibri" w:hAnsi="Calibri"/>
                <w:color w:val="333333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333333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33333"/>
                <w:highlight w:val="white"/>
                <w:rtl w:val="0"/>
              </w:rPr>
              <w:t xml:space="preserve">Crème sans conservateur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333333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33333"/>
                <w:highlight w:val="white"/>
                <w:rtl w:val="0"/>
              </w:rPr>
              <w:t xml:space="preserve">Crème avec huile essentielle de lavande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333333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33333"/>
                <w:highlight w:val="white"/>
                <w:rtl w:val="0"/>
              </w:rPr>
              <w:t xml:space="preserve">Crème avec huile essentielle de l’arbre à thé</w:t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333333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33333"/>
                <w:highlight w:val="white"/>
                <w:rtl w:val="0"/>
              </w:rPr>
              <w:t xml:space="preserve">Crème avec conservateur chimique</w:t>
            </w:r>
          </w:p>
        </w:tc>
      </w:tr>
      <w:tr>
        <w:trPr>
          <w:cantSplit w:val="0"/>
          <w:trHeight w:val="16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333333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33333"/>
                <w:highlight w:val="white"/>
                <w:rtl w:val="0"/>
              </w:rPr>
              <w:t xml:space="preserve">Couleur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rPr>
                <w:rFonts w:ascii="Calibri" w:cs="Calibri" w:eastAsia="Calibri" w:hAnsi="Calibri"/>
                <w:color w:val="333333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Calibri" w:cs="Calibri" w:eastAsia="Calibri" w:hAnsi="Calibri"/>
                <w:color w:val="333333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jc w:val="center"/>
              <w:rPr>
                <w:rFonts w:ascii="Calibri" w:cs="Calibri" w:eastAsia="Calibri" w:hAnsi="Calibri"/>
                <w:color w:val="333333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rPr>
                <w:rFonts w:ascii="Calibri" w:cs="Calibri" w:eastAsia="Calibri" w:hAnsi="Calibri"/>
                <w:color w:val="333333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Calibri" w:cs="Calibri" w:eastAsia="Calibri" w:hAnsi="Calibri"/>
                <w:color w:val="333333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center"/>
              <w:rPr>
                <w:rFonts w:ascii="Calibri" w:cs="Calibri" w:eastAsia="Calibri" w:hAnsi="Calibri"/>
                <w:color w:val="333333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0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333333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33333"/>
                <w:highlight w:val="white"/>
                <w:rtl w:val="0"/>
              </w:rPr>
              <w:t xml:space="preserve">Apparition de moisissures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Calibri" w:cs="Calibri" w:eastAsia="Calibri" w:hAnsi="Calibri"/>
                <w:color w:val="333333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Calibri" w:cs="Calibri" w:eastAsia="Calibri" w:hAnsi="Calibri"/>
                <w:color w:val="333333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jc w:val="center"/>
              <w:rPr>
                <w:rFonts w:ascii="Calibri" w:cs="Calibri" w:eastAsia="Calibri" w:hAnsi="Calibri"/>
                <w:color w:val="333333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jc w:val="center"/>
              <w:rPr>
                <w:rFonts w:ascii="Calibri" w:cs="Calibri" w:eastAsia="Calibri" w:hAnsi="Calibri"/>
                <w:color w:val="333333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jc w:val="center"/>
              <w:rPr>
                <w:rFonts w:ascii="Calibri" w:cs="Calibri" w:eastAsia="Calibri" w:hAnsi="Calibri"/>
                <w:color w:val="333333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jc w:val="center"/>
              <w:rPr>
                <w:rFonts w:ascii="Calibri" w:cs="Calibri" w:eastAsia="Calibri" w:hAnsi="Calibri"/>
                <w:color w:val="333333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jc w:val="center"/>
              <w:rPr>
                <w:rFonts w:ascii="Calibri" w:cs="Calibri" w:eastAsia="Calibri" w:hAnsi="Calibri"/>
                <w:color w:val="333333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jc w:val="center"/>
              <w:rPr>
                <w:rFonts w:ascii="Calibri" w:cs="Calibri" w:eastAsia="Calibri" w:hAnsi="Calibri"/>
                <w:color w:val="333333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Calibri" w:cs="Calibri" w:eastAsia="Calibri" w:hAnsi="Calibri"/>
                <w:color w:val="333333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center"/>
              <w:rPr>
                <w:rFonts w:ascii="Calibri" w:cs="Calibri" w:eastAsia="Calibri" w:hAnsi="Calibri"/>
                <w:color w:val="333333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0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333333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33333"/>
                <w:highlight w:val="white"/>
                <w:rtl w:val="0"/>
              </w:rPr>
              <w:t xml:space="preserve">Apparition de dépôts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Calibri" w:cs="Calibri" w:eastAsia="Calibri" w:hAnsi="Calibri"/>
                <w:color w:val="333333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Calibri" w:cs="Calibri" w:eastAsia="Calibri" w:hAnsi="Calibri"/>
                <w:color w:val="333333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Calibri" w:cs="Calibri" w:eastAsia="Calibri" w:hAnsi="Calibri"/>
                <w:color w:val="333333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center"/>
              <w:rPr>
                <w:rFonts w:ascii="Calibri" w:cs="Calibri" w:eastAsia="Calibri" w:hAnsi="Calibri"/>
                <w:color w:val="333333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0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333333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33333"/>
                <w:highlight w:val="white"/>
                <w:rtl w:val="0"/>
              </w:rPr>
              <w:t xml:space="preserve">Observation gélose nutritive après 48h à 30°C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jc w:val="center"/>
              <w:rPr>
                <w:rFonts w:ascii="Calibri" w:cs="Calibri" w:eastAsia="Calibri" w:hAnsi="Calibri"/>
                <w:color w:val="333333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Calibri" w:cs="Calibri" w:eastAsia="Calibri" w:hAnsi="Calibri"/>
                <w:color w:val="333333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Calibri" w:cs="Calibri" w:eastAsia="Calibri" w:hAnsi="Calibri"/>
                <w:color w:val="333333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center"/>
              <w:rPr>
                <w:rFonts w:ascii="Calibri" w:cs="Calibri" w:eastAsia="Calibri" w:hAnsi="Calibri"/>
                <w:color w:val="333333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0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333333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33333"/>
                <w:highlight w:val="white"/>
                <w:rtl w:val="0"/>
              </w:rPr>
              <w:t xml:space="preserve">Interprétation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jc w:val="center"/>
              <w:rPr>
                <w:rFonts w:ascii="Calibri" w:cs="Calibri" w:eastAsia="Calibri" w:hAnsi="Calibri"/>
                <w:color w:val="333333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Calibri" w:cs="Calibri" w:eastAsia="Calibri" w:hAnsi="Calibri"/>
                <w:color w:val="333333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jc w:val="center"/>
              <w:rPr>
                <w:rFonts w:ascii="Calibri" w:cs="Calibri" w:eastAsia="Calibri" w:hAnsi="Calibri"/>
                <w:color w:val="333333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jc w:val="center"/>
              <w:rPr>
                <w:rFonts w:ascii="Calibri" w:cs="Calibri" w:eastAsia="Calibri" w:hAnsi="Calibri"/>
                <w:color w:val="333333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tabs>
          <w:tab w:val="left" w:leader="none" w:pos="1125"/>
        </w:tabs>
        <w:rPr>
          <w:rFonts w:ascii="Calibri" w:cs="Calibri" w:eastAsia="Calibri" w:hAnsi="Calibri"/>
          <w:b w:val="1"/>
          <w:bCs w:val="1"/>
          <w:color w:val="333333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Calibri" w:cs="Calibri" w:eastAsia="Calibri" w:hAnsi="Calibri"/>
          <w:b w:val="1"/>
          <w:bCs w:val="1"/>
          <w:color w:val="333333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rFonts w:ascii="Calibri" w:cs="Calibri" w:eastAsia="Calibri" w:hAnsi="Calibri"/>
          <w:b w:val="1"/>
          <w:bCs w:val="1"/>
          <w:color w:val="333333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333333"/>
          <w:u w:val="single"/>
          <w:rtl w:val="0"/>
        </w:rPr>
        <w:t xml:space="preserve">Conclusion générale : </w:t>
      </w:r>
    </w:p>
    <w:p w:rsidR="00000000" w:rsidDel="00000000" w:rsidP="00000000" w:rsidRDefault="00000000" w:rsidRPr="00000000" w14:paraId="0000003A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Coloration au Bleu de Méthylène d’un contaminant fongique (cf fiche technique)</w:t>
      </w:r>
    </w:p>
    <w:p w:rsidR="00000000" w:rsidDel="00000000" w:rsidP="00000000" w:rsidRDefault="00000000" w:rsidRPr="00000000" w14:paraId="00000042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center"/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Résultat de la coloration au Bleu de Méthylène du contaminant fongique :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center"/>
        <w:rPr>
          <w:rFonts w:ascii="Garamond" w:cs="Garamond" w:eastAsia="Garamond" w:hAnsi="Garamond"/>
          <w:color w:val="333333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45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228"/>
        <w:gridCol w:w="5228"/>
        <w:tblGridChange w:id="0">
          <w:tblGrid>
            <w:gridCol w:w="5228"/>
            <w:gridCol w:w="5228"/>
          </w:tblGrid>
        </w:tblGridChange>
      </w:tblGrid>
      <w:tr>
        <w:trPr>
          <w:cantSplit w:val="0"/>
          <w:trHeight w:val="539" w:hRule="atLeast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048">
            <w:pPr>
              <w:jc w:val="center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Titre : ………………………………………………………………………………………………………</w:t>
            </w:r>
          </w:p>
        </w:tc>
      </w:tr>
      <w:tr>
        <w:trPr>
          <w:cantSplit w:val="0"/>
          <w:trHeight w:val="6721" w:hRule="atLeast"/>
          <w:tblHeader w:val="0"/>
        </w:trPr>
        <w:tc>
          <w:tcPr/>
          <w:p w:rsidR="00000000" w:rsidDel="00000000" w:rsidP="00000000" w:rsidRDefault="00000000" w:rsidRPr="00000000" w14:paraId="0000004A">
            <w:pPr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Schéma de l’observation :</w:t>
            </w:r>
          </w:p>
          <w:p w:rsidR="00000000" w:rsidDel="00000000" w:rsidP="00000000" w:rsidRDefault="00000000" w:rsidRPr="00000000" w14:paraId="0000004B">
            <w:pPr>
              <w:rPr>
                <w:rFonts w:ascii="Garamond" w:cs="Garamond" w:eastAsia="Garamond" w:hAnsi="Garamond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rFonts w:ascii="Garamond" w:cs="Garamond" w:eastAsia="Garamond" w:hAnsi="Garamond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rPr>
                <w:rFonts w:ascii="Garamond" w:cs="Garamond" w:eastAsia="Garamond" w:hAnsi="Garamond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rPr>
                <w:rFonts w:ascii="Garamond" w:cs="Garamond" w:eastAsia="Garamond" w:hAnsi="Garamond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rPr>
                <w:rFonts w:ascii="Garamond" w:cs="Garamond" w:eastAsia="Garamond" w:hAnsi="Garamond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rPr>
                <w:rFonts w:ascii="Garamond" w:cs="Garamond" w:eastAsia="Garamond" w:hAnsi="Garamond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rPr>
                <w:rFonts w:ascii="Garamond" w:cs="Garamond" w:eastAsia="Garamond" w:hAnsi="Garamond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rPr>
                <w:rFonts w:ascii="Garamond" w:cs="Garamond" w:eastAsia="Garamond" w:hAnsi="Garamond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rPr>
                <w:rFonts w:ascii="Garamond" w:cs="Garamond" w:eastAsia="Garamond" w:hAnsi="Garamond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rPr>
                <w:rFonts w:ascii="Garamond" w:cs="Garamond" w:eastAsia="Garamond" w:hAnsi="Garamond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rPr>
                <w:rFonts w:ascii="Garamond" w:cs="Garamond" w:eastAsia="Garamond" w:hAnsi="Garamond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rPr>
                <w:rFonts w:ascii="Garamond" w:cs="Garamond" w:eastAsia="Garamond" w:hAnsi="Garamond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rPr>
                <w:rFonts w:ascii="Garamond" w:cs="Garamond" w:eastAsia="Garamond" w:hAnsi="Garamond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rPr>
                <w:rFonts w:ascii="Garamond" w:cs="Garamond" w:eastAsia="Garamond" w:hAnsi="Garamond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rPr>
                <w:rFonts w:ascii="Garamond" w:cs="Garamond" w:eastAsia="Garamond" w:hAnsi="Garamond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rPr>
                <w:rFonts w:ascii="Garamond" w:cs="Garamond" w:eastAsia="Garamond" w:hAnsi="Garamond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rPr>
                <w:rFonts w:ascii="Garamond" w:cs="Garamond" w:eastAsia="Garamond" w:hAnsi="Garamond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rPr>
                <w:rFonts w:ascii="Garamond" w:cs="Garamond" w:eastAsia="Garamond" w:hAnsi="Garamond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rPr>
                <w:rFonts w:ascii="Garamond" w:cs="Garamond" w:eastAsia="Garamond" w:hAnsi="Garamond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rPr>
                <w:rFonts w:ascii="Garamond" w:cs="Garamond" w:eastAsia="Garamond" w:hAnsi="Garamond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rPr>
                <w:rFonts w:ascii="Garamond" w:cs="Garamond" w:eastAsia="Garamond" w:hAnsi="Garamond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rPr>
                <w:rFonts w:ascii="Garamond" w:cs="Garamond" w:eastAsia="Garamond" w:hAnsi="Garamond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rPr>
                <w:rFonts w:ascii="Garamond" w:cs="Garamond" w:eastAsia="Garamond" w:hAnsi="Garamond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rPr>
                <w:rFonts w:ascii="Garamond" w:cs="Garamond" w:eastAsia="Garamond" w:hAnsi="Garamond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rPr>
                <w:rFonts w:ascii="Garamond" w:cs="Garamond" w:eastAsia="Garamond" w:hAnsi="Garamond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rPr>
                <w:rFonts w:ascii="Garamond" w:cs="Garamond" w:eastAsia="Garamond" w:hAnsi="Garamond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jc w:val="right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Grossissement : x ………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66">
            <w:pPr>
              <w:jc w:val="center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Description : ………………………………………</w:t>
            </w:r>
          </w:p>
          <w:p w:rsidR="00000000" w:rsidDel="00000000" w:rsidP="00000000" w:rsidRDefault="00000000" w:rsidRPr="00000000" w14:paraId="00000067">
            <w:pPr>
              <w:jc w:val="center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……………………………………………………</w:t>
            </w:r>
          </w:p>
          <w:p w:rsidR="00000000" w:rsidDel="00000000" w:rsidP="00000000" w:rsidRDefault="00000000" w:rsidRPr="00000000" w14:paraId="00000068">
            <w:pPr>
              <w:jc w:val="center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……………………………………………………</w:t>
            </w:r>
          </w:p>
          <w:p w:rsidR="00000000" w:rsidDel="00000000" w:rsidP="00000000" w:rsidRDefault="00000000" w:rsidRPr="00000000" w14:paraId="00000069">
            <w:pPr>
              <w:jc w:val="center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……………………………………………………</w:t>
            </w:r>
          </w:p>
          <w:p w:rsidR="00000000" w:rsidDel="00000000" w:rsidP="00000000" w:rsidRDefault="00000000" w:rsidRPr="00000000" w14:paraId="0000006A">
            <w:pPr>
              <w:jc w:val="center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……………………………………………………</w:t>
            </w:r>
          </w:p>
          <w:p w:rsidR="00000000" w:rsidDel="00000000" w:rsidP="00000000" w:rsidRDefault="00000000" w:rsidRPr="00000000" w14:paraId="0000006B">
            <w:pPr>
              <w:jc w:val="center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……………………………………………………</w:t>
            </w:r>
          </w:p>
          <w:p w:rsidR="00000000" w:rsidDel="00000000" w:rsidP="00000000" w:rsidRDefault="00000000" w:rsidRPr="00000000" w14:paraId="0000006C">
            <w:pPr>
              <w:jc w:val="center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……………………………………………………</w:t>
            </w:r>
          </w:p>
          <w:p w:rsidR="00000000" w:rsidDel="00000000" w:rsidP="00000000" w:rsidRDefault="00000000" w:rsidRPr="00000000" w14:paraId="0000006D">
            <w:pPr>
              <w:jc w:val="center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……………………………………………………</w:t>
            </w:r>
          </w:p>
          <w:p w:rsidR="00000000" w:rsidDel="00000000" w:rsidP="00000000" w:rsidRDefault="00000000" w:rsidRPr="00000000" w14:paraId="0000006E">
            <w:pPr>
              <w:jc w:val="center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……………………………………………………</w:t>
            </w:r>
          </w:p>
          <w:p w:rsidR="00000000" w:rsidDel="00000000" w:rsidP="00000000" w:rsidRDefault="00000000" w:rsidRPr="00000000" w14:paraId="0000006F">
            <w:pPr>
              <w:jc w:val="center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……………………………………………………</w:t>
            </w:r>
          </w:p>
          <w:p w:rsidR="00000000" w:rsidDel="00000000" w:rsidP="00000000" w:rsidRDefault="00000000" w:rsidRPr="00000000" w14:paraId="00000070">
            <w:pPr>
              <w:jc w:val="center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……………………………………………………</w:t>
            </w:r>
          </w:p>
          <w:p w:rsidR="00000000" w:rsidDel="00000000" w:rsidP="00000000" w:rsidRDefault="00000000" w:rsidRPr="00000000" w14:paraId="00000071">
            <w:pPr>
              <w:jc w:val="center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……………………………………………………</w:t>
            </w:r>
          </w:p>
          <w:p w:rsidR="00000000" w:rsidDel="00000000" w:rsidP="00000000" w:rsidRDefault="00000000" w:rsidRPr="00000000" w14:paraId="00000072">
            <w:pPr>
              <w:jc w:val="center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……………………………………………………</w:t>
            </w:r>
          </w:p>
          <w:p w:rsidR="00000000" w:rsidDel="00000000" w:rsidP="00000000" w:rsidRDefault="00000000" w:rsidRPr="00000000" w14:paraId="00000073">
            <w:pPr>
              <w:jc w:val="center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……………………………………………………</w:t>
            </w:r>
          </w:p>
          <w:p w:rsidR="00000000" w:rsidDel="00000000" w:rsidP="00000000" w:rsidRDefault="00000000" w:rsidRPr="00000000" w14:paraId="00000074">
            <w:pPr>
              <w:jc w:val="center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……………………………………………………</w:t>
            </w:r>
          </w:p>
          <w:p w:rsidR="00000000" w:rsidDel="00000000" w:rsidP="00000000" w:rsidRDefault="00000000" w:rsidRPr="00000000" w14:paraId="00000075">
            <w:pPr>
              <w:jc w:val="center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……………………………………………………</w:t>
            </w:r>
          </w:p>
          <w:p w:rsidR="00000000" w:rsidDel="00000000" w:rsidP="00000000" w:rsidRDefault="00000000" w:rsidRPr="00000000" w14:paraId="00000076">
            <w:pPr>
              <w:jc w:val="center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……………………………………………………</w:t>
            </w:r>
          </w:p>
        </w:tc>
      </w:tr>
    </w:tbl>
    <w:p w:rsidR="00000000" w:rsidDel="00000000" w:rsidP="00000000" w:rsidRDefault="00000000" w:rsidRPr="00000000" w14:paraId="00000077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footerReference r:id="rId10" w:type="even"/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Garamond">
    <w:embedRegular w:fontKey="{00000000-0000-0000-0000-000000000000}" r:id="rId2" w:subsetted="0"/>
    <w:embedBold w:fontKey="{00000000-0000-0000-0000-000000000000}" r:id="rId3" w:subsetted="0"/>
    <w:embedItalic w:fontKey="{00000000-0000-0000-0000-000000000000}" r:id="rId4" w:subsetted="0"/>
    <w:embedBoldItalic w:fontKey="{00000000-0000-0000-0000-000000000000}" r:id="rId5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Biotechnologies – 2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superscript"/>
        <w:rtl w:val="0"/>
      </w:rPr>
      <w:t xml:space="preserve">nd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pict>
        <v:shape id="_x0000_s2049" style="position:absolute;left:0;text-align:left;margin-left:-25.4pt;margin-top:-32.29992125984252pt;width:153.75pt;height:55.5pt;z-index:251660288;mso-width-relative:margin;mso-height-relative:margin;mso-position-horizontal:absolute;mso-position-vertical:absolute;mso-position-horizontal-relative:margin;mso-position-vertical-relative:text;" strokecolor="white [3212]" type="#_x0000_t202">
          <v:textbox>
            <w:txbxContent>
              <w:p w:rsidR="00AA40DA" w:rsidDel="00000000" w:rsidP="00000000" w:rsidRDefault="00AA40DA" w:rsidRPr="00000000" w14:paraId="61829076" w14:textId="77777777">
                <w:r w:rsidDel="00000000" w:rsidR="00000000" w:rsidRPr="00000000">
                  <w:rPr>
                    <w:noProof w:val="1"/>
                    <w:szCs w:val="36"/>
                  </w:rPr>
                  <w:drawing>
                    <wp:inline distB="0" distT="0" distL="0" distR="0">
                      <wp:extent cx="1532255" cy="676910"/>
                      <wp:effectExtent b="0" l="19050" r="0" t="0"/>
                      <wp:docPr descr="C:\Users\assistant-travaux\Desktop\Logo 2021 lycee Raoul Dautry.jpg" id="2" name="Image 1"/>
                      <wp:cNvGraphicFramePr>
                        <a:graphicFrameLocks noChangeAspect="1"/>
                      </wp:cNvGraphicFramePr>
                      <a:graphic>
                        <a:graphicData uri="http://schemas.openxmlformats.org/drawingml/2006/picture">
                          <pic:pic>
                            <pic:nvPicPr>
                              <pic:cNvPr descr="C:\Users\assistant-travaux\Desktop\Logo 2021 lycee Raoul Dautry.jpg" id="0" name="Imag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32255" cy="6769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-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f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Policepardfaut" w:default="1">
    <w:name w:val="Default Paragraph Font"/>
    <w:uiPriority w:val="1"/>
    <w:semiHidden w:val="1"/>
    <w:unhideWhenUsed w:val="1"/>
  </w:style>
  <w:style w:type="table" w:styleId="Tableau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ucuneliste" w:default="1">
    <w:name w:val="No List"/>
    <w:uiPriority w:val="99"/>
    <w:semiHidden w:val="1"/>
    <w:unhideWhenUsed w:val="1"/>
  </w:style>
  <w:style w:type="character" w:styleId="Lienhypertexte">
    <w:name w:val="Hyperlink"/>
    <w:basedOn w:val="Policepardfaut"/>
    <w:uiPriority w:val="99"/>
    <w:unhideWhenUsed w:val="1"/>
    <w:rsid w:val="001375A0"/>
    <w:rPr>
      <w:color w:val="0563c1" w:themeColor="hyperlink"/>
      <w:u w:val="single"/>
    </w:rPr>
  </w:style>
  <w:style w:type="character" w:styleId="Mentionnonrsolue1" w:customStyle="1">
    <w:name w:val="Mention non résolue1"/>
    <w:basedOn w:val="Policepardfaut"/>
    <w:uiPriority w:val="99"/>
    <w:semiHidden w:val="1"/>
    <w:unhideWhenUsed w:val="1"/>
    <w:rsid w:val="001375A0"/>
    <w:rPr>
      <w:color w:val="605e5c"/>
      <w:shd w:color="auto" w:fill="e1dfdd" w:val="clear"/>
    </w:rPr>
  </w:style>
  <w:style w:type="paragraph" w:styleId="En-tte">
    <w:name w:val="header"/>
    <w:basedOn w:val="Normal"/>
    <w:link w:val="En-tteCar"/>
    <w:uiPriority w:val="99"/>
    <w:unhideWhenUsed w:val="1"/>
    <w:rsid w:val="001375A0"/>
    <w:pPr>
      <w:tabs>
        <w:tab w:val="center" w:pos="4536"/>
        <w:tab w:val="right" w:pos="9072"/>
      </w:tabs>
    </w:pPr>
    <w:rPr>
      <w:rFonts w:asciiTheme="minorHAnsi" w:cstheme="minorBidi" w:eastAsiaTheme="minorHAnsi" w:hAnsiTheme="minorHAnsi"/>
      <w:lang w:eastAsia="en-US"/>
    </w:rPr>
  </w:style>
  <w:style w:type="character" w:styleId="En-tteCar" w:customStyle="1">
    <w:name w:val="En-tête Car"/>
    <w:basedOn w:val="Policepardfaut"/>
    <w:link w:val="En-tte"/>
    <w:uiPriority w:val="99"/>
    <w:rsid w:val="001375A0"/>
  </w:style>
  <w:style w:type="paragraph" w:styleId="Pieddepage">
    <w:name w:val="footer"/>
    <w:basedOn w:val="Normal"/>
    <w:link w:val="PieddepageCar"/>
    <w:uiPriority w:val="99"/>
    <w:unhideWhenUsed w:val="1"/>
    <w:rsid w:val="001375A0"/>
    <w:pPr>
      <w:tabs>
        <w:tab w:val="center" w:pos="4536"/>
        <w:tab w:val="right" w:pos="9072"/>
      </w:tabs>
    </w:pPr>
    <w:rPr>
      <w:rFonts w:asciiTheme="minorHAnsi" w:cstheme="minorBidi" w:eastAsiaTheme="minorHAnsi" w:hAnsiTheme="minorHAnsi"/>
      <w:lang w:eastAsia="en-US"/>
    </w:rPr>
  </w:style>
  <w:style w:type="character" w:styleId="PieddepageCar" w:customStyle="1">
    <w:name w:val="Pied de page Car"/>
    <w:basedOn w:val="Policepardfaut"/>
    <w:link w:val="Pieddepage"/>
    <w:uiPriority w:val="99"/>
    <w:rsid w:val="001375A0"/>
  </w:style>
  <w:style w:type="character" w:styleId="Numrodepage">
    <w:name w:val="page number"/>
    <w:basedOn w:val="Policepardfaut"/>
    <w:uiPriority w:val="99"/>
    <w:semiHidden w:val="1"/>
    <w:unhideWhenUsed w:val="1"/>
    <w:rsid w:val="001375A0"/>
  </w:style>
  <w:style w:type="table" w:styleId="Grilledutableau">
    <w:name w:val="Table Grid"/>
    <w:basedOn w:val="TableauNormal"/>
    <w:uiPriority w:val="59"/>
    <w:rsid w:val="001375A0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ragraphedeliste">
    <w:name w:val="List Paragraph"/>
    <w:basedOn w:val="Normal"/>
    <w:uiPriority w:val="34"/>
    <w:qFormat w:val="1"/>
    <w:rsid w:val="002F5ADF"/>
    <w:pPr>
      <w:ind w:left="720"/>
      <w:contextualSpacing w:val="1"/>
    </w:pPr>
    <w:rPr>
      <w:rFonts w:asciiTheme="minorHAnsi" w:cstheme="minorBidi" w:eastAsiaTheme="minorHAnsi" w:hAnsiTheme="minorHAnsi"/>
      <w:lang w:eastAsia="en-US"/>
    </w:rPr>
  </w:style>
  <w:style w:type="paragraph" w:styleId="Textedebulles">
    <w:name w:val="Balloon Text"/>
    <w:basedOn w:val="Normal"/>
    <w:link w:val="TextedebullesCar"/>
    <w:uiPriority w:val="99"/>
    <w:semiHidden w:val="1"/>
    <w:unhideWhenUsed w:val="1"/>
    <w:rsid w:val="00AA40DA"/>
    <w:rPr>
      <w:rFonts w:ascii="Tahoma" w:cs="Tahoma" w:hAnsi="Tahoma"/>
      <w:sz w:val="16"/>
      <w:szCs w:val="16"/>
    </w:rPr>
  </w:style>
  <w:style w:type="character" w:styleId="TextedebullesCar" w:customStyle="1">
    <w:name w:val="Texte de bulles Car"/>
    <w:basedOn w:val="Policepardfaut"/>
    <w:link w:val="Textedebulles"/>
    <w:uiPriority w:val="99"/>
    <w:semiHidden w:val="1"/>
    <w:rsid w:val="00AA40DA"/>
    <w:rPr>
      <w:rFonts w:ascii="Tahoma" w:cs="Tahoma" w:eastAsia="Times New Roman" w:hAnsi="Tahoma"/>
      <w:sz w:val="16"/>
      <w:szCs w:val="16"/>
      <w:lang w:eastAsia="fr-F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theme" Target="theme/theme1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2" Type="http://schemas.openxmlformats.org/officeDocument/2006/relationships/font" Target="fonts/Garamond-regular.ttf"/><Relationship Id="rId3" Type="http://schemas.openxmlformats.org/officeDocument/2006/relationships/font" Target="fonts/Garamond-bold.ttf"/><Relationship Id="rId4" Type="http://schemas.openxmlformats.org/officeDocument/2006/relationships/font" Target="fonts/Garamond-italic.ttf"/><Relationship Id="rId5" Type="http://schemas.openxmlformats.org/officeDocument/2006/relationships/font" Target="fonts/Garamond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2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ZJAInd+qeaO1xNud8Ejy3S82dQ==">CgMxLjA4AHIhMXhZb045T0RfWkdZS1FWQUJaWG44cmFsckVKX2duZkhl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2022-08-08T18:24:00Z</dcterms:created>
  <dc:creator>Anthony Gianti</dc:creator>
</cp:coreProperties>
</file>