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9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26"/>
        <w:tblGridChange w:id="0">
          <w:tblGrid>
            <w:gridCol w:w="8926"/>
          </w:tblGrid>
        </w:tblGridChange>
      </w:tblGrid>
      <w:tr>
        <w:trPr>
          <w:cantSplit w:val="0"/>
          <w:trHeight w:val="1531" w:hRule="atLeast"/>
          <w:tblHeader w:val="0"/>
        </w:trPr>
        <w:tc>
          <w:tcPr>
            <w:shd w:fill="d9d9d9" w:val="clear"/>
            <w:vAlign w:val="center"/>
          </w:tcPr>
          <w:p w:rsidR="00000000" w:rsidDel="00000000" w:rsidP="00000000" w:rsidRDefault="00000000" w:rsidRPr="00000000" w14:paraId="00000002">
            <w:pPr>
              <w:jc w:val="center"/>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03">
            <w:pPr>
              <w:shd w:fill="d9d9d9" w:val="clear"/>
              <w:jc w:val="center"/>
              <w:rPr>
                <w:rFonts w:ascii="Garamond" w:cs="Garamond" w:eastAsia="Garamond" w:hAnsi="Garamond"/>
                <w:color w:val="000000"/>
                <w:sz w:val="36"/>
                <w:szCs w:val="36"/>
              </w:rPr>
            </w:pPr>
            <w:r w:rsidDel="00000000" w:rsidR="00000000" w:rsidRPr="00000000">
              <w:rPr>
                <w:rFonts w:ascii="Garamond" w:cs="Garamond" w:eastAsia="Garamond" w:hAnsi="Garamond"/>
                <w:color w:val="000000"/>
                <w:sz w:val="36"/>
                <w:szCs w:val="36"/>
                <w:rtl w:val="0"/>
              </w:rPr>
              <w:t xml:space="preserve">L’ANTI-VENIN</w:t>
            </w:r>
          </w:p>
          <w:p w:rsidR="00000000" w:rsidDel="00000000" w:rsidP="00000000" w:rsidRDefault="00000000" w:rsidRPr="00000000" w14:paraId="00000004">
            <w:pPr>
              <w:shd w:fill="d9d9d9" w:val="clear"/>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Détermination de l’efficacité d’un anti-venin (2/2)</w:t>
            </w:r>
          </w:p>
          <w:p w:rsidR="00000000" w:rsidDel="00000000" w:rsidP="00000000" w:rsidRDefault="00000000" w:rsidRPr="00000000" w14:paraId="00000005">
            <w:pPr>
              <w:jc w:val="center"/>
              <w:rPr>
                <w:rFonts w:ascii="Garamond" w:cs="Garamond" w:eastAsia="Garamond" w:hAnsi="Garamond"/>
                <w:sz w:val="16"/>
                <w:szCs w:val="16"/>
              </w:rPr>
            </w:pPr>
            <w:r w:rsidDel="00000000" w:rsidR="00000000" w:rsidRPr="00000000">
              <w:rPr>
                <w:rtl w:val="0"/>
              </w:rPr>
            </w:r>
          </w:p>
        </w:tc>
      </w:tr>
    </w:tbl>
    <w:p w:rsidR="00000000" w:rsidDel="00000000" w:rsidP="00000000" w:rsidRDefault="00000000" w:rsidRPr="00000000" w14:paraId="00000006">
      <w:pPr>
        <w:rPr>
          <w:rFonts w:ascii="Garamond" w:cs="Garamond" w:eastAsia="Garamond" w:hAnsi="Garamond"/>
        </w:rPr>
      </w:pPr>
      <w:r w:rsidDel="00000000" w:rsidR="00000000" w:rsidRPr="00000000">
        <w:rPr>
          <w:rtl w:val="0"/>
        </w:rPr>
      </w:r>
    </w:p>
    <w:p w:rsidR="00000000" w:rsidDel="00000000" w:rsidP="00000000" w:rsidRDefault="00000000" w:rsidRPr="00000000" w14:paraId="0000000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Quatre </w:t>
      </w:r>
      <w:r w:rsidDel="00000000" w:rsidR="00000000" w:rsidRPr="00000000">
        <w:rPr>
          <w:rFonts w:ascii="Garamond" w:cs="Garamond" w:eastAsia="Garamond" w:hAnsi="Garamond"/>
          <w:b w:val="1"/>
          <w:sz w:val="24"/>
          <w:szCs w:val="24"/>
          <w:rtl w:val="0"/>
        </w:rPr>
        <w:t xml:space="preserve">nouvelles espèces de scorpions</w:t>
      </w:r>
      <w:r w:rsidDel="00000000" w:rsidR="00000000" w:rsidRPr="00000000">
        <w:rPr>
          <w:rFonts w:ascii="Garamond" w:cs="Garamond" w:eastAsia="Garamond" w:hAnsi="Garamond"/>
          <w:sz w:val="24"/>
          <w:szCs w:val="24"/>
          <w:rtl w:val="0"/>
        </w:rPr>
        <w:t xml:space="preserve"> de la famille des </w:t>
      </w:r>
      <w:r w:rsidDel="00000000" w:rsidR="00000000" w:rsidRPr="00000000">
        <w:rPr>
          <w:rFonts w:ascii="Garamond" w:cs="Garamond" w:eastAsia="Garamond" w:hAnsi="Garamond"/>
          <w:i w:val="1"/>
          <w:sz w:val="24"/>
          <w:szCs w:val="24"/>
          <w:rtl w:val="0"/>
        </w:rPr>
        <w:t xml:space="preserve">Pandiborellius</w:t>
      </w:r>
      <w:r w:rsidDel="00000000" w:rsidR="00000000" w:rsidRPr="00000000">
        <w:rPr>
          <w:rFonts w:ascii="Garamond" w:cs="Garamond" w:eastAsia="Garamond" w:hAnsi="Garamond"/>
          <w:sz w:val="24"/>
          <w:szCs w:val="24"/>
          <w:rtl w:val="0"/>
        </w:rPr>
        <w:t xml:space="preserve"> ont été découvertes en Inde entre 2014 et 2017:</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Pandiborellius igdu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(2017)</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Pandiborellius insularis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(2017)</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Pandiborellius lanzai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(2015)</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Pandiborellius nistriae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(2014)</w:t>
      </w:r>
      <w:r w:rsidDel="00000000" w:rsidR="00000000" w:rsidRPr="00000000">
        <w:rPr>
          <w:rtl w:val="0"/>
        </w:rPr>
      </w:r>
    </w:p>
    <w:p w:rsidR="00000000" w:rsidDel="00000000" w:rsidP="00000000" w:rsidRDefault="00000000" w:rsidRPr="00000000" w14:paraId="0000000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Il n’existe donc aucun traitement pour traiter les personnes piquées par ces insectes.</w:t>
      </w:r>
    </w:p>
    <w:p w:rsidR="00000000" w:rsidDel="00000000" w:rsidP="00000000" w:rsidRDefault="00000000" w:rsidRPr="00000000" w14:paraId="0000000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 laboratoire </w:t>
      </w:r>
      <w:r w:rsidDel="00000000" w:rsidR="00000000" w:rsidRPr="00000000">
        <w:rPr>
          <w:rFonts w:ascii="Garamond" w:cs="Garamond" w:eastAsia="Garamond" w:hAnsi="Garamond"/>
          <w:i w:val="1"/>
          <w:sz w:val="24"/>
          <w:szCs w:val="24"/>
          <w:rtl w:val="0"/>
        </w:rPr>
        <w:t xml:space="preserve">Dautry pharmaceutic corporation</w:t>
      </w:r>
      <w:r w:rsidDel="00000000" w:rsidR="00000000" w:rsidRPr="00000000">
        <w:rPr>
          <w:rFonts w:ascii="Garamond" w:cs="Garamond" w:eastAsia="Garamond" w:hAnsi="Garamond"/>
          <w:sz w:val="24"/>
          <w:szCs w:val="24"/>
          <w:rtl w:val="0"/>
        </w:rPr>
        <w:t xml:space="preserve">, spécialisé dans l’utilisation de venins à des fins thérapeutiques vient de développer un </w:t>
      </w:r>
      <w:r w:rsidDel="00000000" w:rsidR="00000000" w:rsidRPr="00000000">
        <w:rPr>
          <w:rFonts w:ascii="Garamond" w:cs="Garamond" w:eastAsia="Garamond" w:hAnsi="Garamond"/>
          <w:b w:val="1"/>
          <w:sz w:val="24"/>
          <w:szCs w:val="24"/>
          <w:rtl w:val="0"/>
        </w:rPr>
        <w:t xml:space="preserve">anti-venin</w:t>
      </w:r>
      <w:r w:rsidDel="00000000" w:rsidR="00000000" w:rsidRPr="00000000">
        <w:rPr>
          <w:rFonts w:ascii="Garamond" w:cs="Garamond" w:eastAsia="Garamond" w:hAnsi="Garamond"/>
          <w:sz w:val="24"/>
          <w:szCs w:val="24"/>
          <w:rtl w:val="0"/>
        </w:rPr>
        <w:t xml:space="preserve"> utilisable contre ces 4 espèces.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Qu’est-ce qu’un anti-venin ?</w:t>
      </w:r>
    </w:p>
    <w:p w:rsidR="00000000" w:rsidDel="00000000" w:rsidP="00000000" w:rsidRDefault="00000000" w:rsidRPr="00000000" w14:paraId="0000000F">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Les anti-venins sont fabriqués à partir de plasma de cheval immunisé par injection d'antigènes (venin). Ces injections répétées d'antigènes permettent au système immunitaire du cheval de générer des anticorps qui permettent la neutralisation du venin. Lorsque le niveau nécessaire sera atteint, les anticorps seront ensuite séparés du plasma et utilisées pour la production d'anti-venin, et le reste du plasma sera réinjecté au cheval.</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Proposer</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une définition des termes « anticorps » et « antigène »</w:t>
      </w:r>
    </w:p>
    <w:p w:rsidR="00000000" w:rsidDel="00000000" w:rsidP="00000000" w:rsidRDefault="00000000" w:rsidRPr="00000000" w14:paraId="00000011">
      <w:pPr>
        <w:rPr>
          <w:rFonts w:ascii="Garamond" w:cs="Garamond" w:eastAsia="Garamond" w:hAnsi="Garamond"/>
        </w:rPr>
      </w:pPr>
      <w:r w:rsidDel="00000000" w:rsidR="00000000" w:rsidRPr="00000000">
        <w:rPr>
          <w:rFonts w:ascii="Garamond" w:cs="Garamond" w:eastAsia="Garamond" w:hAnsi="Garamond"/>
          <w:b w:val="1"/>
          <w:sz w:val="24"/>
          <w:szCs w:val="24"/>
          <w:rtl w:val="0"/>
        </w:rPr>
        <w:t xml:space="preserve">Anticorps</w:t>
      </w:r>
      <w:r w:rsidDel="00000000" w:rsidR="00000000" w:rsidRPr="00000000">
        <w:rPr>
          <w:rFonts w:ascii="Garamond" w:cs="Garamond" w:eastAsia="Garamond" w:hAnsi="Garamond"/>
          <w:rtl w:val="0"/>
        </w:rPr>
        <w:t xml:space="preserve"> :</w:t>
        <w:tab/>
        <w:t xml:space="preserve">…………………………………………………………………………………………...</w:t>
      </w:r>
    </w:p>
    <w:p w:rsidR="00000000" w:rsidDel="00000000" w:rsidP="00000000" w:rsidRDefault="00000000" w:rsidRPr="00000000" w14:paraId="00000012">
      <w:pPr>
        <w:rPr>
          <w:rFonts w:ascii="Garamond" w:cs="Garamond" w:eastAsia="Garamond" w:hAnsi="Garamond"/>
        </w:rPr>
      </w:pPr>
      <w:r w:rsidDel="00000000" w:rsidR="00000000" w:rsidRPr="00000000">
        <w:rPr>
          <w:rFonts w:ascii="Garamond" w:cs="Garamond" w:eastAsia="Garamond" w:hAnsi="Garamond"/>
          <w:rtl w:val="0"/>
        </w:rPr>
        <w:tab/>
        <w:tab/>
        <w:t xml:space="preserve">…………………………………………………………………………………………...</w:t>
        <w:tab/>
      </w:r>
    </w:p>
    <w:p w:rsidR="00000000" w:rsidDel="00000000" w:rsidP="00000000" w:rsidRDefault="00000000" w:rsidRPr="00000000" w14:paraId="00000013">
      <w:pPr>
        <w:rPr>
          <w:rFonts w:ascii="Garamond" w:cs="Garamond" w:eastAsia="Garamond" w:hAnsi="Garamond"/>
        </w:rPr>
      </w:pPr>
      <w:r w:rsidDel="00000000" w:rsidR="00000000" w:rsidRPr="00000000">
        <w:rPr>
          <w:rFonts w:ascii="Garamond" w:cs="Garamond" w:eastAsia="Garamond" w:hAnsi="Garamond"/>
          <w:b w:val="1"/>
          <w:sz w:val="24"/>
          <w:szCs w:val="24"/>
          <w:rtl w:val="0"/>
        </w:rPr>
        <w:t xml:space="preserve">Antigène</w:t>
      </w:r>
      <w:r w:rsidDel="00000000" w:rsidR="00000000" w:rsidRPr="00000000">
        <w:rPr>
          <w:rFonts w:ascii="Garamond" w:cs="Garamond" w:eastAsia="Garamond" w:hAnsi="Garamond"/>
          <w:rtl w:val="0"/>
        </w:rPr>
        <w:t xml:space="preserve"> :</w:t>
        <w:tab/>
        <w:t xml:space="preserve">…………………………………………………………………………………………</w:t>
      </w:r>
    </w:p>
    <w:p w:rsidR="00000000" w:rsidDel="00000000" w:rsidP="00000000" w:rsidRDefault="00000000" w:rsidRPr="00000000" w14:paraId="00000014">
      <w:pPr>
        <w:rPr>
          <w:rFonts w:ascii="Garamond" w:cs="Garamond" w:eastAsia="Garamond" w:hAnsi="Garamond"/>
        </w:rPr>
      </w:pPr>
      <w:r w:rsidDel="00000000" w:rsidR="00000000" w:rsidRPr="00000000">
        <w:rPr>
          <w:rFonts w:ascii="Garamond" w:cs="Garamond" w:eastAsia="Garamond" w:hAnsi="Garamond"/>
          <w:rtl w:val="0"/>
        </w:rPr>
        <w:tab/>
        <w:tab/>
        <w:t xml:space="preserve">…………………………………………………………………………………………</w:t>
      </w:r>
    </w:p>
    <w:p w:rsidR="00000000" w:rsidDel="00000000" w:rsidP="00000000" w:rsidRDefault="00000000" w:rsidRPr="00000000" w14:paraId="00000015">
      <w:pPr>
        <w:rPr>
          <w:rFonts w:ascii="Garamond" w:cs="Garamond" w:eastAsia="Garamond" w:hAnsi="Garamond"/>
        </w:rPr>
      </w:pPr>
      <w:r w:rsidDel="00000000" w:rsidR="00000000" w:rsidRPr="00000000">
        <w:rPr>
          <w:rtl w:val="0"/>
        </w:rPr>
      </w:r>
    </w:p>
    <w:p w:rsidR="00000000" w:rsidDel="00000000" w:rsidP="00000000" w:rsidRDefault="00000000" w:rsidRPr="00000000" w14:paraId="00000016">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Quand les anticorps et les antigènes se rencontrent ils forment un édifice appelé « </w:t>
      </w:r>
      <w:r w:rsidDel="00000000" w:rsidR="00000000" w:rsidRPr="00000000">
        <w:rPr>
          <w:rFonts w:ascii="Garamond" w:cs="Garamond" w:eastAsia="Garamond" w:hAnsi="Garamond"/>
          <w:b w:val="1"/>
          <w:sz w:val="24"/>
          <w:szCs w:val="24"/>
          <w:rtl w:val="0"/>
        </w:rPr>
        <w:t xml:space="preserve">complexe immun</w:t>
      </w:r>
      <w:r w:rsidDel="00000000" w:rsidR="00000000" w:rsidRPr="00000000">
        <w:rPr>
          <w:rFonts w:ascii="Garamond" w:cs="Garamond" w:eastAsia="Garamond" w:hAnsi="Garamond"/>
          <w:sz w:val="24"/>
          <w:szCs w:val="24"/>
          <w:rtl w:val="0"/>
        </w:rPr>
        <w:t xml:space="preserve"> », si les concentrations de ces deux molécules sont suffisantes, cet édifice peut être observé à l’œil nu sous la forme d’un </w:t>
      </w:r>
      <w:r w:rsidDel="00000000" w:rsidR="00000000" w:rsidRPr="00000000">
        <w:rPr>
          <w:rFonts w:ascii="Garamond" w:cs="Garamond" w:eastAsia="Garamond" w:hAnsi="Garamond"/>
          <w:b w:val="1"/>
          <w:sz w:val="24"/>
          <w:szCs w:val="24"/>
          <w:rtl w:val="0"/>
        </w:rPr>
        <w:t xml:space="preserve">précipité blanc</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Légender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 schéma suivant :</w:t>
      </w:r>
    </w:p>
    <w:p w:rsidR="00000000" w:rsidDel="00000000" w:rsidP="00000000" w:rsidRDefault="00000000" w:rsidRPr="00000000" w14:paraId="00000018">
      <w:pPr>
        <w:jc w:val="center"/>
        <w:rPr>
          <w:rFonts w:ascii="Garamond" w:cs="Garamond" w:eastAsia="Garamond" w:hAnsi="Garamond"/>
          <w:sz w:val="24"/>
          <w:szCs w:val="24"/>
        </w:rPr>
      </w:pPr>
      <w:r w:rsidDel="00000000" w:rsidR="00000000" w:rsidRPr="00000000">
        <w:rPr>
          <w:rFonts w:ascii="Garamond" w:cs="Garamond" w:eastAsia="Garamond" w:hAnsi="Garamond"/>
        </w:rPr>
        <w:drawing>
          <wp:inline distB="0" distT="0" distL="0" distR="0">
            <wp:extent cx="4282869" cy="1242206"/>
            <wp:effectExtent b="0" l="0" r="0" t="0"/>
            <wp:docPr id="11"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4282869" cy="1242206"/>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Evaluation de l’efficacité de l’anti-venin par la technique d’Ouchterlony</w:t>
      </w:r>
    </w:p>
    <w:p w:rsidR="00000000" w:rsidDel="00000000" w:rsidP="00000000" w:rsidRDefault="00000000" w:rsidRPr="00000000" w14:paraId="0000001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 technique d’Ouchterlony est utilisée pour détecter des anticorps ou des antigènes. Elle consiste à creuser des puits dans une gélose et à y déposer des suspensions d’antigène et d’anticorps. Si un anticorps reconnait un antigène, il y a formation d’un arc blanc entre les deux puits, correspondant à la formation de complexes immuns insolubles.</w:t>
      </w:r>
    </w:p>
    <w:p w:rsidR="00000000" w:rsidDel="00000000" w:rsidP="00000000" w:rsidRDefault="00000000" w:rsidRPr="00000000" w14:paraId="0000001B">
      <w:pPr>
        <w:jc w:val="both"/>
        <w:rPr>
          <w:rFonts w:ascii="Garamond" w:cs="Garamond" w:eastAsia="Garamond" w:hAnsi="Garamond"/>
          <w:sz w:val="24"/>
          <w:szCs w:val="24"/>
          <w:u w:val="single"/>
        </w:rPr>
      </w:pPr>
      <w:r w:rsidDel="00000000" w:rsidR="00000000" w:rsidRPr="00000000">
        <w:rPr>
          <w:rFonts w:ascii="Garamond" w:cs="Garamond" w:eastAsia="Garamond" w:hAnsi="Garamond"/>
          <w:sz w:val="24"/>
          <w:szCs w:val="24"/>
          <w:u w:val="single"/>
          <w:rtl w:val="0"/>
        </w:rPr>
        <w:t xml:space="preserve">On dispose du matériel suivant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 gels d’agarose en boîte de 5,5 cm.</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Emporte-pièce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Anti-venin Dautryvenin 500 en tube Eppendorf noté «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AV</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Venin de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Pandiborellius igdu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noté «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1</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Venin de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Pandiborellius insularis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noté «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2</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Venin de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Pandiborellius lanzai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noté «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3</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Venin de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Pandiborellius nistriae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noté «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4</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Pipette automatique p100 et cônes adaptés.</w:t>
      </w:r>
    </w:p>
    <w:p w:rsidR="00000000" w:rsidDel="00000000" w:rsidP="00000000" w:rsidRDefault="00000000" w:rsidRPr="00000000" w14:paraId="0000002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l’aide de l’emporte-pièce,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s’entraîner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à creuser des puits proprement dans la première gélose.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Annoter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boîte de Pétri dans laquelle vous allez réaliser l’Ouchterlony (par exemple en indiquant le haut, le bas, la gauche et la droite en marquant « H », « « B », « G » et « D » sur le côté de la boîte).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Creuser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les puits en vous aidant de l’abaque ci-dessous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0" distR="0">
            <wp:extent cx="2011680" cy="2011680"/>
            <wp:effectExtent b="0" l="0" r="0" t="0"/>
            <wp:docPr id="1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011680" cy="201168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Déposer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30 µL des suspensions indiquées (en veillant à ne pas déborder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Attendre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20 minutes.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Lire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les résultats : Si l’anti-venin contient des anticorps actifs contre le venin d’une espèce de scorpion, alors un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arc de précipitation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blanc se forme entre le puits AV et le puit contenant le venin.</w:t>
      </w:r>
    </w:p>
    <w:p w:rsidR="00000000" w:rsidDel="00000000" w:rsidP="00000000" w:rsidRDefault="00000000" w:rsidRPr="00000000" w14:paraId="00000033">
      <w:pPr>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4">
      <w:pP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Représenter</w:t>
      </w:r>
      <w:r w:rsidDel="00000000" w:rsidR="00000000" w:rsidRPr="00000000">
        <w:rPr>
          <w:rFonts w:ascii="Garamond" w:cs="Garamond" w:eastAsia="Garamond" w:hAnsi="Garamond"/>
          <w:sz w:val="24"/>
          <w:szCs w:val="24"/>
          <w:rtl w:val="0"/>
        </w:rPr>
        <w:t xml:space="preserve"> sur l’abaque ci-dessous les résultats observés :</w:t>
      </w:r>
    </w:p>
    <w:p w:rsidR="00000000" w:rsidDel="00000000" w:rsidP="00000000" w:rsidRDefault="00000000" w:rsidRPr="00000000" w14:paraId="0000003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6">
      <w:pPr>
        <w:jc w:val="center"/>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0" distT="0" distL="0" distR="0">
            <wp:extent cx="2011680" cy="2011680"/>
            <wp:effectExtent b="0" l="0" r="0" t="0"/>
            <wp:docPr id="1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011680" cy="201168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8">
      <w:pP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Indiquer</w:t>
      </w:r>
      <w:r w:rsidDel="00000000" w:rsidR="00000000" w:rsidRPr="00000000">
        <w:rPr>
          <w:rFonts w:ascii="Garamond" w:cs="Garamond" w:eastAsia="Garamond" w:hAnsi="Garamond"/>
          <w:sz w:val="24"/>
          <w:szCs w:val="24"/>
          <w:rtl w:val="0"/>
        </w:rPr>
        <w:t xml:space="preserve"> dans le tableau ci-dessous si l’anti-venin contient des anticorps actifs contre les venins des différentes espèces de scorpion :</w:t>
      </w:r>
    </w:p>
    <w:p w:rsidR="00000000" w:rsidDel="00000000" w:rsidP="00000000" w:rsidRDefault="00000000" w:rsidRPr="00000000" w14:paraId="00000039">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 « + » indique que l’anti-venin contient des anticorps efficaces contre le venin.</w:t>
      </w:r>
    </w:p>
    <w:p w:rsidR="00000000" w:rsidDel="00000000" w:rsidP="00000000" w:rsidRDefault="00000000" w:rsidRPr="00000000" w14:paraId="0000003A">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 « - » indique que l’anti-venin ne contient pas d’anticorps efficaces contre le venin.</w:t>
      </w:r>
    </w:p>
    <w:tbl>
      <w:tblPr>
        <w:tblStyle w:val="Table2"/>
        <w:tblW w:w="62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3118"/>
        <w:tblGridChange w:id="0">
          <w:tblGrid>
            <w:gridCol w:w="3114"/>
            <w:gridCol w:w="3118"/>
          </w:tblGrid>
        </w:tblGridChange>
      </w:tblGrid>
      <w:tr>
        <w:trPr>
          <w:cantSplit w:val="0"/>
          <w:tblHeader w:val="0"/>
        </w:trPr>
        <w:tc>
          <w:tcPr>
            <w:shd w:fill="d0cece" w:val="clear"/>
          </w:tcPr>
          <w:p w:rsidR="00000000" w:rsidDel="00000000" w:rsidP="00000000" w:rsidRDefault="00000000" w:rsidRPr="00000000" w14:paraId="0000003B">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Venin</w:t>
            </w:r>
          </w:p>
        </w:tc>
        <w:tc>
          <w:tcPr>
            <w:shd w:fill="d0cece" w:val="clear"/>
          </w:tcPr>
          <w:p w:rsidR="00000000" w:rsidDel="00000000" w:rsidP="00000000" w:rsidRDefault="00000000" w:rsidRPr="00000000" w14:paraId="0000003C">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Résultat</w:t>
            </w:r>
          </w:p>
        </w:tc>
      </w:tr>
      <w:tr>
        <w:trPr>
          <w:cantSplit w:val="0"/>
          <w:tblHeader w:val="0"/>
        </w:trPr>
        <w:tc>
          <w:tcPr>
            <w:vAlign w:val="center"/>
          </w:tcPr>
          <w:p w:rsidR="00000000" w:rsidDel="00000000" w:rsidP="00000000" w:rsidRDefault="00000000" w:rsidRPr="00000000" w14:paraId="0000003D">
            <w:pPr>
              <w:jc w:val="center"/>
              <w:rPr>
                <w:rFonts w:ascii="Garamond" w:cs="Garamond" w:eastAsia="Garamond" w:hAnsi="Garamond"/>
                <w:i w:val="1"/>
              </w:rPr>
            </w:pPr>
            <w:r w:rsidDel="00000000" w:rsidR="00000000" w:rsidRPr="00000000">
              <w:rPr>
                <w:rFonts w:ascii="Garamond" w:cs="Garamond" w:eastAsia="Garamond" w:hAnsi="Garamond"/>
                <w:i w:val="1"/>
                <w:rtl w:val="0"/>
              </w:rPr>
              <w:t xml:space="preserve">Pandiborellius igdu</w:t>
            </w:r>
          </w:p>
        </w:tc>
        <w:tc>
          <w:tcPr/>
          <w:p w:rsidR="00000000" w:rsidDel="00000000" w:rsidP="00000000" w:rsidRDefault="00000000" w:rsidRPr="00000000" w14:paraId="0000003E">
            <w:pPr>
              <w:rPr>
                <w:rFonts w:ascii="Garamond" w:cs="Garamond" w:eastAsia="Garamond" w:hAnsi="Garamond"/>
              </w:rPr>
            </w:pPr>
            <w:r w:rsidDel="00000000" w:rsidR="00000000" w:rsidRPr="00000000">
              <w:rPr>
                <w:rtl w:val="0"/>
              </w:rPr>
            </w:r>
          </w:p>
          <w:p w:rsidR="00000000" w:rsidDel="00000000" w:rsidP="00000000" w:rsidRDefault="00000000" w:rsidRPr="00000000" w14:paraId="0000003F">
            <w:pPr>
              <w:rPr>
                <w:rFonts w:ascii="Garamond" w:cs="Garamond" w:eastAsia="Garamond" w:hAnsi="Garamond"/>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0">
            <w:pPr>
              <w:jc w:val="center"/>
              <w:rPr>
                <w:rFonts w:ascii="Garamond" w:cs="Garamond" w:eastAsia="Garamond" w:hAnsi="Garamond"/>
                <w:i w:val="1"/>
              </w:rPr>
            </w:pPr>
            <w:r w:rsidDel="00000000" w:rsidR="00000000" w:rsidRPr="00000000">
              <w:rPr>
                <w:rFonts w:ascii="Garamond" w:cs="Garamond" w:eastAsia="Garamond" w:hAnsi="Garamond"/>
                <w:i w:val="1"/>
                <w:rtl w:val="0"/>
              </w:rPr>
              <w:t xml:space="preserve">Pandiborellius insularis</w:t>
            </w:r>
          </w:p>
        </w:tc>
        <w:tc>
          <w:tcPr/>
          <w:p w:rsidR="00000000" w:rsidDel="00000000" w:rsidP="00000000" w:rsidRDefault="00000000" w:rsidRPr="00000000" w14:paraId="00000041">
            <w:pPr>
              <w:rPr>
                <w:rFonts w:ascii="Garamond" w:cs="Garamond" w:eastAsia="Garamond" w:hAnsi="Garamond"/>
              </w:rPr>
            </w:pPr>
            <w:r w:rsidDel="00000000" w:rsidR="00000000" w:rsidRPr="00000000">
              <w:rPr>
                <w:rtl w:val="0"/>
              </w:rPr>
            </w:r>
          </w:p>
          <w:p w:rsidR="00000000" w:rsidDel="00000000" w:rsidP="00000000" w:rsidRDefault="00000000" w:rsidRPr="00000000" w14:paraId="00000042">
            <w:pPr>
              <w:rPr>
                <w:rFonts w:ascii="Garamond" w:cs="Garamond" w:eastAsia="Garamond" w:hAnsi="Garamond"/>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3">
            <w:pPr>
              <w:jc w:val="center"/>
              <w:rPr>
                <w:rFonts w:ascii="Garamond" w:cs="Garamond" w:eastAsia="Garamond" w:hAnsi="Garamond"/>
                <w:i w:val="1"/>
              </w:rPr>
            </w:pPr>
            <w:r w:rsidDel="00000000" w:rsidR="00000000" w:rsidRPr="00000000">
              <w:rPr>
                <w:rFonts w:ascii="Garamond" w:cs="Garamond" w:eastAsia="Garamond" w:hAnsi="Garamond"/>
                <w:i w:val="1"/>
                <w:rtl w:val="0"/>
              </w:rPr>
              <w:t xml:space="preserve">Pandiborellius lanzai</w:t>
            </w:r>
          </w:p>
        </w:tc>
        <w:tc>
          <w:tcPr/>
          <w:p w:rsidR="00000000" w:rsidDel="00000000" w:rsidP="00000000" w:rsidRDefault="00000000" w:rsidRPr="00000000" w14:paraId="00000044">
            <w:pPr>
              <w:rPr>
                <w:rFonts w:ascii="Garamond" w:cs="Garamond" w:eastAsia="Garamond" w:hAnsi="Garamond"/>
              </w:rPr>
            </w:pPr>
            <w:r w:rsidDel="00000000" w:rsidR="00000000" w:rsidRPr="00000000">
              <w:rPr>
                <w:rtl w:val="0"/>
              </w:rPr>
            </w:r>
          </w:p>
          <w:p w:rsidR="00000000" w:rsidDel="00000000" w:rsidP="00000000" w:rsidRDefault="00000000" w:rsidRPr="00000000" w14:paraId="00000045">
            <w:pPr>
              <w:rPr>
                <w:rFonts w:ascii="Garamond" w:cs="Garamond" w:eastAsia="Garamond" w:hAnsi="Garamond"/>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6">
            <w:pPr>
              <w:jc w:val="center"/>
              <w:rPr>
                <w:rFonts w:ascii="Garamond" w:cs="Garamond" w:eastAsia="Garamond" w:hAnsi="Garamond"/>
                <w:i w:val="1"/>
              </w:rPr>
            </w:pPr>
            <w:r w:rsidDel="00000000" w:rsidR="00000000" w:rsidRPr="00000000">
              <w:rPr>
                <w:rFonts w:ascii="Garamond" w:cs="Garamond" w:eastAsia="Garamond" w:hAnsi="Garamond"/>
                <w:i w:val="1"/>
                <w:rtl w:val="0"/>
              </w:rPr>
              <w:t xml:space="preserve">Pandiborellius nistriae</w:t>
            </w:r>
          </w:p>
        </w:tc>
        <w:tc>
          <w:tcPr/>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04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A">
      <w:pP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Conclure</w:t>
      </w:r>
      <w:r w:rsidDel="00000000" w:rsidR="00000000" w:rsidRPr="00000000">
        <w:rPr>
          <w:rFonts w:ascii="Garamond" w:cs="Garamond" w:eastAsia="Garamond" w:hAnsi="Garamond"/>
          <w:sz w:val="24"/>
          <w:szCs w:val="24"/>
          <w:rtl w:val="0"/>
        </w:rPr>
        <w:t xml:space="preserve"> sur l’efficacité de l’anti-venin produit par </w:t>
      </w:r>
      <w:r w:rsidDel="00000000" w:rsidR="00000000" w:rsidRPr="00000000">
        <w:rPr>
          <w:rFonts w:ascii="Garamond" w:cs="Garamond" w:eastAsia="Garamond" w:hAnsi="Garamond"/>
          <w:i w:val="1"/>
          <w:sz w:val="24"/>
          <w:szCs w:val="24"/>
          <w:rtl w:val="0"/>
        </w:rPr>
        <w:t xml:space="preserve">Dautry pharmaceutic corporation</w:t>
      </w:r>
      <w:r w:rsidDel="00000000" w:rsidR="00000000" w:rsidRPr="00000000">
        <w:rPr>
          <w:rFonts w:ascii="Garamond" w:cs="Garamond" w:eastAsia="Garamond" w:hAnsi="Garamond"/>
          <w:sz w:val="24"/>
          <w:szCs w:val="24"/>
          <w:rtl w:val="0"/>
        </w:rPr>
        <w:t xml:space="preserve"> pour traiter les piqures de ces nouvelles espèces de scorpions de la famille des </w:t>
      </w:r>
      <w:r w:rsidDel="00000000" w:rsidR="00000000" w:rsidRPr="00000000">
        <w:rPr>
          <w:rFonts w:ascii="Garamond" w:cs="Garamond" w:eastAsia="Garamond" w:hAnsi="Garamond"/>
          <w:i w:val="1"/>
          <w:sz w:val="24"/>
          <w:szCs w:val="24"/>
          <w:rtl w:val="0"/>
        </w:rPr>
        <w:t xml:space="preserve">Pandiborellius</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4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Observation de cellules de l’immunité</w:t>
      </w: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Les anticorps sont produits par des globules blancs : les </w:t>
      </w:r>
      <w:r w:rsidDel="00000000" w:rsidR="00000000" w:rsidRPr="00000000">
        <w:rPr>
          <w:b w:val="1"/>
          <w:rtl w:val="0"/>
        </w:rPr>
        <w:t xml:space="preserve">plasmocytes</w:t>
      </w:r>
      <w:r w:rsidDel="00000000" w:rsidR="00000000" w:rsidRPr="00000000">
        <w:rPr>
          <w:rtl w:val="0"/>
        </w:rPr>
        <w:t xml:space="preserve">. Avant de se transformer en plasmocytes, ces cellules circulent dans le sang sous forme de </w:t>
      </w:r>
      <w:r w:rsidDel="00000000" w:rsidR="00000000" w:rsidRPr="00000000">
        <w:rPr>
          <w:b w:val="1"/>
          <w:rtl w:val="0"/>
        </w:rPr>
        <w:t xml:space="preserve">lymphocytes</w:t>
      </w:r>
      <w:r w:rsidDel="00000000" w:rsidR="00000000" w:rsidRPr="00000000">
        <w:rPr>
          <w:rtl w:val="0"/>
        </w:rPr>
        <w:t xml:space="preserve">.</w:t>
      </w:r>
    </w:p>
    <w:p w:rsidR="00000000" w:rsidDel="00000000" w:rsidP="00000000" w:rsidRDefault="00000000" w:rsidRPr="00000000" w14:paraId="0000004E">
      <w:pPr>
        <w:jc w:val="both"/>
        <w:rPr/>
      </w:pPr>
      <w:r w:rsidDel="00000000" w:rsidR="00000000" w:rsidRPr="00000000">
        <w:rPr>
          <w:rtl w:val="0"/>
        </w:rPr>
        <w:t xml:space="preserve">L’objectif de cette activité est de </w:t>
      </w:r>
      <w:r w:rsidDel="00000000" w:rsidR="00000000" w:rsidRPr="00000000">
        <w:rPr>
          <w:b w:val="1"/>
          <w:rtl w:val="0"/>
        </w:rPr>
        <w:t xml:space="preserve">repérer un lymphocyte</w:t>
      </w:r>
      <w:r w:rsidDel="00000000" w:rsidR="00000000" w:rsidRPr="00000000">
        <w:rPr>
          <w:rtl w:val="0"/>
        </w:rPr>
        <w:t xml:space="preserve"> dans un frottis de sang de cheval.</w:t>
      </w:r>
    </w:p>
    <w:p w:rsidR="00000000" w:rsidDel="00000000" w:rsidP="00000000" w:rsidRDefault="00000000" w:rsidRPr="00000000" w14:paraId="0000004F">
      <w:pPr>
        <w:rPr>
          <w:b w:val="1"/>
        </w:rPr>
      </w:pPr>
      <w:r w:rsidDel="00000000" w:rsidR="00000000" w:rsidRPr="00000000">
        <w:rPr>
          <w:rtl w:val="0"/>
        </w:rPr>
      </w:r>
    </w:p>
    <w:p w:rsidR="00000000" w:rsidDel="00000000" w:rsidP="00000000" w:rsidRDefault="00000000" w:rsidRPr="00000000" w14:paraId="00000050">
      <w:pPr>
        <w:rPr/>
      </w:pPr>
      <w:r w:rsidDel="00000000" w:rsidR="00000000" w:rsidRPr="00000000">
        <w:rPr>
          <w:b w:val="1"/>
          <w:rtl w:val="0"/>
        </w:rPr>
        <w:t xml:space="preserve">Matériel</w:t>
      </w:r>
      <w:r w:rsidDel="00000000" w:rsidR="00000000" w:rsidRPr="00000000">
        <w:rPr>
          <w:rtl w:val="0"/>
        </w:rPr>
        <w:t xml:space="preserve"> :</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Microscope optique</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Huile a immersion</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Frottis sanguin de cheval coloré au MGG</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Placer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 frottis sanguin sur la platine du microscope.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Sélectionner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l’objectif X100</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Déposer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une goutte d’huile a immersion sur la lame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Observer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préparation.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Repérer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et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montrer à l’enseignant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les différentes cellules de l’immunité.</w:t>
      </w:r>
    </w:p>
    <w:tbl>
      <w:tblPr>
        <w:tblStyle w:val="Table3"/>
        <w:tblW w:w="708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6"/>
        <w:gridCol w:w="1546"/>
        <w:gridCol w:w="3921"/>
        <w:tblGridChange w:id="0">
          <w:tblGrid>
            <w:gridCol w:w="1616"/>
            <w:gridCol w:w="1546"/>
            <w:gridCol w:w="3921"/>
          </w:tblGrid>
        </w:tblGridChange>
      </w:tblGrid>
      <w:tr>
        <w:trPr>
          <w:cantSplit w:val="0"/>
          <w:tblHeader w:val="0"/>
        </w:trPr>
        <w:tc>
          <w:tcPr>
            <w:vAlign w:val="center"/>
          </w:tcPr>
          <w:p w:rsidR="00000000" w:rsidDel="00000000" w:rsidP="00000000" w:rsidRDefault="00000000" w:rsidRPr="00000000" w14:paraId="0000005E">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Cellule</w:t>
            </w:r>
          </w:p>
        </w:tc>
        <w:tc>
          <w:tcPr>
            <w:vAlign w:val="center"/>
          </w:tcPr>
          <w:p w:rsidR="00000000" w:rsidDel="00000000" w:rsidP="00000000" w:rsidRDefault="00000000" w:rsidRPr="00000000" w14:paraId="0000005F">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Schéma</w:t>
            </w:r>
          </w:p>
        </w:tc>
        <w:tc>
          <w:tcPr>
            <w:vAlign w:val="center"/>
          </w:tcPr>
          <w:p w:rsidR="00000000" w:rsidDel="00000000" w:rsidP="00000000" w:rsidRDefault="00000000" w:rsidRPr="00000000" w14:paraId="0000006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Caractéristiques</w:t>
            </w:r>
          </w:p>
        </w:tc>
      </w:tr>
      <w:tr>
        <w:trPr>
          <w:cantSplit w:val="0"/>
          <w:trHeight w:val="1287" w:hRule="atLeast"/>
          <w:tblHeader w:val="0"/>
        </w:trPr>
        <w:tc>
          <w:tcPr>
            <w:vAlign w:val="center"/>
          </w:tcPr>
          <w:p w:rsidR="00000000" w:rsidDel="00000000" w:rsidP="00000000" w:rsidRDefault="00000000" w:rsidRPr="00000000" w14:paraId="0000006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Polynucléaire neutrophile</w:t>
            </w:r>
          </w:p>
        </w:tc>
        <w:tc>
          <w:tcPr>
            <w:vAlign w:val="center"/>
          </w:tcPr>
          <w:p w:rsidR="00000000" w:rsidDel="00000000" w:rsidP="00000000" w:rsidRDefault="00000000" w:rsidRPr="00000000" w14:paraId="00000062">
            <w:pPr>
              <w:jc w:val="center"/>
              <w:rPr>
                <w:rFonts w:ascii="Garamond" w:cs="Garamond" w:eastAsia="Garamond" w:hAnsi="Garamond"/>
              </w:rPr>
            </w:pPr>
            <w:r w:rsidDel="00000000" w:rsidR="00000000" w:rsidRPr="00000000">
              <w:rPr/>
              <w:drawing>
                <wp:inline distB="0" distT="0" distL="0" distR="0">
                  <wp:extent cx="758825" cy="750570"/>
                  <wp:effectExtent b="0" l="0" r="0" t="0"/>
                  <wp:docPr id="1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758825" cy="75057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3">
            <w:pPr>
              <w:rPr>
                <w:rFonts w:ascii="Garamond" w:cs="Garamond" w:eastAsia="Garamond" w:hAnsi="Garamond"/>
              </w:rPr>
            </w:pPr>
            <w:r w:rsidDel="00000000" w:rsidR="00000000" w:rsidRPr="00000000">
              <w:rPr>
                <w:rFonts w:ascii="Garamond" w:cs="Garamond" w:eastAsia="Garamond" w:hAnsi="Garamond"/>
                <w:rtl w:val="0"/>
              </w:rPr>
              <w:t xml:space="preserve">Noyau à trois lobes, violet.</w:t>
            </w:r>
          </w:p>
          <w:p w:rsidR="00000000" w:rsidDel="00000000" w:rsidP="00000000" w:rsidRDefault="00000000" w:rsidRPr="00000000" w14:paraId="00000064">
            <w:pPr>
              <w:rPr>
                <w:rFonts w:ascii="Garamond" w:cs="Garamond" w:eastAsia="Garamond" w:hAnsi="Garamond"/>
              </w:rPr>
            </w:pPr>
            <w:r w:rsidDel="00000000" w:rsidR="00000000" w:rsidRPr="00000000">
              <w:rPr>
                <w:rFonts w:ascii="Garamond" w:cs="Garamond" w:eastAsia="Garamond" w:hAnsi="Garamond"/>
                <w:rtl w:val="0"/>
              </w:rPr>
              <w:t xml:space="preserve">Cytoplasme clair, légèrement granuleux</w:t>
            </w:r>
          </w:p>
          <w:p w:rsidR="00000000" w:rsidDel="00000000" w:rsidP="00000000" w:rsidRDefault="00000000" w:rsidRPr="00000000" w14:paraId="00000065">
            <w:pPr>
              <w:rPr>
                <w:rFonts w:ascii="Garamond" w:cs="Garamond" w:eastAsia="Garamond" w:hAnsi="Garamond"/>
              </w:rPr>
            </w:pPr>
            <w:r w:rsidDel="00000000" w:rsidR="00000000" w:rsidRPr="00000000">
              <w:rPr>
                <w:rFonts w:ascii="Garamond" w:cs="Garamond" w:eastAsia="Garamond" w:hAnsi="Garamond"/>
                <w:rtl w:val="0"/>
              </w:rPr>
              <w:t xml:space="preserve">Globule blanc le plus commun</w:t>
            </w:r>
          </w:p>
        </w:tc>
      </w:tr>
      <w:tr>
        <w:trPr>
          <w:cantSplit w:val="0"/>
          <w:trHeight w:val="1287" w:hRule="atLeast"/>
          <w:tblHeader w:val="0"/>
        </w:trPr>
        <w:tc>
          <w:tcPr>
            <w:vAlign w:val="center"/>
          </w:tcPr>
          <w:p w:rsidR="00000000" w:rsidDel="00000000" w:rsidP="00000000" w:rsidRDefault="00000000" w:rsidRPr="00000000" w14:paraId="00000066">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Polynucléaire éosinophile</w:t>
            </w:r>
          </w:p>
        </w:tc>
        <w:tc>
          <w:tcPr>
            <w:vAlign w:val="center"/>
          </w:tcPr>
          <w:p w:rsidR="00000000" w:rsidDel="00000000" w:rsidP="00000000" w:rsidRDefault="00000000" w:rsidRPr="00000000" w14:paraId="00000067">
            <w:pPr>
              <w:jc w:val="center"/>
              <w:rPr>
                <w:rFonts w:ascii="Garamond" w:cs="Garamond" w:eastAsia="Garamond" w:hAnsi="Garamond"/>
              </w:rPr>
            </w:pPr>
            <w:r w:rsidDel="00000000" w:rsidR="00000000" w:rsidRPr="00000000">
              <w:rPr/>
              <w:drawing>
                <wp:inline distB="0" distT="0" distL="0" distR="0">
                  <wp:extent cx="758825" cy="655320"/>
                  <wp:effectExtent b="0" l="0" r="0" t="0"/>
                  <wp:docPr id="1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758825" cy="65532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8">
            <w:pPr>
              <w:rPr>
                <w:rFonts w:ascii="Garamond" w:cs="Garamond" w:eastAsia="Garamond" w:hAnsi="Garamond"/>
              </w:rPr>
            </w:pPr>
            <w:r w:rsidDel="00000000" w:rsidR="00000000" w:rsidRPr="00000000">
              <w:rPr>
                <w:rFonts w:ascii="Garamond" w:cs="Garamond" w:eastAsia="Garamond" w:hAnsi="Garamond"/>
                <w:rtl w:val="0"/>
              </w:rPr>
              <w:t xml:space="preserve">Noyau à deux lobes, violet.</w:t>
            </w:r>
          </w:p>
          <w:p w:rsidR="00000000" w:rsidDel="00000000" w:rsidP="00000000" w:rsidRDefault="00000000" w:rsidRPr="00000000" w14:paraId="00000069">
            <w:pPr>
              <w:rPr>
                <w:rFonts w:ascii="Garamond" w:cs="Garamond" w:eastAsia="Garamond" w:hAnsi="Garamond"/>
              </w:rPr>
            </w:pPr>
            <w:r w:rsidDel="00000000" w:rsidR="00000000" w:rsidRPr="00000000">
              <w:rPr>
                <w:rFonts w:ascii="Garamond" w:cs="Garamond" w:eastAsia="Garamond" w:hAnsi="Garamond"/>
                <w:rtl w:val="0"/>
              </w:rPr>
              <w:t xml:space="preserve">Cytoplasme orangé</w:t>
            </w:r>
          </w:p>
          <w:p w:rsidR="00000000" w:rsidDel="00000000" w:rsidP="00000000" w:rsidRDefault="00000000" w:rsidRPr="00000000" w14:paraId="0000006A">
            <w:pPr>
              <w:rPr>
                <w:rFonts w:ascii="Garamond" w:cs="Garamond" w:eastAsia="Garamond" w:hAnsi="Garamond"/>
              </w:rPr>
            </w:pPr>
            <w:r w:rsidDel="00000000" w:rsidR="00000000" w:rsidRPr="00000000">
              <w:rPr>
                <w:rFonts w:ascii="Garamond" w:cs="Garamond" w:eastAsia="Garamond" w:hAnsi="Garamond"/>
                <w:rtl w:val="0"/>
              </w:rPr>
              <w:t xml:space="preserve">Globule blanc rare</w:t>
            </w:r>
          </w:p>
        </w:tc>
      </w:tr>
      <w:tr>
        <w:trPr>
          <w:cantSplit w:val="0"/>
          <w:trHeight w:val="1287" w:hRule="atLeast"/>
          <w:tblHeader w:val="0"/>
        </w:trPr>
        <w:tc>
          <w:tcPr>
            <w:vAlign w:val="center"/>
          </w:tcPr>
          <w:p w:rsidR="00000000" w:rsidDel="00000000" w:rsidP="00000000" w:rsidRDefault="00000000" w:rsidRPr="00000000" w14:paraId="0000006B">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Polynucléaire basophile</w:t>
            </w:r>
          </w:p>
        </w:tc>
        <w:tc>
          <w:tcPr>
            <w:vAlign w:val="center"/>
          </w:tcPr>
          <w:p w:rsidR="00000000" w:rsidDel="00000000" w:rsidP="00000000" w:rsidRDefault="00000000" w:rsidRPr="00000000" w14:paraId="0000006C">
            <w:pPr>
              <w:jc w:val="center"/>
              <w:rPr>
                <w:rFonts w:ascii="Garamond" w:cs="Garamond" w:eastAsia="Garamond" w:hAnsi="Garamond"/>
              </w:rPr>
            </w:pPr>
            <w:r w:rsidDel="00000000" w:rsidR="00000000" w:rsidRPr="00000000">
              <w:rPr/>
              <w:drawing>
                <wp:inline distB="0" distT="0" distL="0" distR="0">
                  <wp:extent cx="828040" cy="664210"/>
                  <wp:effectExtent b="0" l="0" r="0" t="0"/>
                  <wp:docPr id="17"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828040" cy="66421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D">
            <w:pPr>
              <w:rPr>
                <w:rFonts w:ascii="Garamond" w:cs="Garamond" w:eastAsia="Garamond" w:hAnsi="Garamond"/>
              </w:rPr>
            </w:pPr>
            <w:r w:rsidDel="00000000" w:rsidR="00000000" w:rsidRPr="00000000">
              <w:rPr>
                <w:rFonts w:ascii="Garamond" w:cs="Garamond" w:eastAsia="Garamond" w:hAnsi="Garamond"/>
                <w:rtl w:val="0"/>
              </w:rPr>
              <w:t xml:space="preserve">Noyau en trèfle.</w:t>
            </w:r>
          </w:p>
          <w:p w:rsidR="00000000" w:rsidDel="00000000" w:rsidP="00000000" w:rsidRDefault="00000000" w:rsidRPr="00000000" w14:paraId="0000006E">
            <w:pPr>
              <w:rPr>
                <w:rFonts w:ascii="Garamond" w:cs="Garamond" w:eastAsia="Garamond" w:hAnsi="Garamond"/>
              </w:rPr>
            </w:pPr>
            <w:r w:rsidDel="00000000" w:rsidR="00000000" w:rsidRPr="00000000">
              <w:rPr>
                <w:rFonts w:ascii="Garamond" w:cs="Garamond" w:eastAsia="Garamond" w:hAnsi="Garamond"/>
                <w:rtl w:val="0"/>
              </w:rPr>
              <w:t xml:space="preserve">Cytoplasme granuleux et très foncé</w:t>
            </w:r>
          </w:p>
          <w:p w:rsidR="00000000" w:rsidDel="00000000" w:rsidP="00000000" w:rsidRDefault="00000000" w:rsidRPr="00000000" w14:paraId="0000006F">
            <w:pPr>
              <w:rPr>
                <w:rFonts w:ascii="Garamond" w:cs="Garamond" w:eastAsia="Garamond" w:hAnsi="Garamond"/>
              </w:rPr>
            </w:pPr>
            <w:r w:rsidDel="00000000" w:rsidR="00000000" w:rsidRPr="00000000">
              <w:rPr>
                <w:rFonts w:ascii="Garamond" w:cs="Garamond" w:eastAsia="Garamond" w:hAnsi="Garamond"/>
                <w:rtl w:val="0"/>
              </w:rPr>
              <w:t xml:space="preserve">Globule blanc très rare</w:t>
            </w:r>
          </w:p>
        </w:tc>
      </w:tr>
      <w:tr>
        <w:trPr>
          <w:cantSplit w:val="0"/>
          <w:trHeight w:val="1287" w:hRule="atLeast"/>
          <w:tblHeader w:val="0"/>
        </w:trPr>
        <w:tc>
          <w:tcPr>
            <w:vAlign w:val="center"/>
          </w:tcPr>
          <w:p w:rsidR="00000000" w:rsidDel="00000000" w:rsidP="00000000" w:rsidRDefault="00000000" w:rsidRPr="00000000" w14:paraId="0000007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Lymphocyte</w:t>
            </w:r>
          </w:p>
        </w:tc>
        <w:tc>
          <w:tcPr>
            <w:vAlign w:val="center"/>
          </w:tcPr>
          <w:p w:rsidR="00000000" w:rsidDel="00000000" w:rsidP="00000000" w:rsidRDefault="00000000" w:rsidRPr="00000000" w14:paraId="00000071">
            <w:pPr>
              <w:jc w:val="center"/>
              <w:rPr>
                <w:rFonts w:ascii="Garamond" w:cs="Garamond" w:eastAsia="Garamond" w:hAnsi="Garamond"/>
              </w:rPr>
            </w:pPr>
            <w:r w:rsidDel="00000000" w:rsidR="00000000" w:rsidRPr="00000000">
              <w:rPr/>
              <w:drawing>
                <wp:inline distB="0" distT="0" distL="0" distR="0">
                  <wp:extent cx="690245" cy="733425"/>
                  <wp:effectExtent b="0" l="0" r="0" t="0"/>
                  <wp:docPr id="16"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690245" cy="7334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2">
            <w:pPr>
              <w:rPr>
                <w:rFonts w:ascii="Garamond" w:cs="Garamond" w:eastAsia="Garamond" w:hAnsi="Garamond"/>
              </w:rPr>
            </w:pPr>
            <w:r w:rsidDel="00000000" w:rsidR="00000000" w:rsidRPr="00000000">
              <w:rPr>
                <w:rFonts w:ascii="Garamond" w:cs="Garamond" w:eastAsia="Garamond" w:hAnsi="Garamond"/>
                <w:rtl w:val="0"/>
              </w:rPr>
              <w:t xml:space="preserve">Noyau très rond et central et violet</w:t>
            </w:r>
          </w:p>
          <w:p w:rsidR="00000000" w:rsidDel="00000000" w:rsidP="00000000" w:rsidRDefault="00000000" w:rsidRPr="00000000" w14:paraId="00000073">
            <w:pPr>
              <w:rPr>
                <w:rFonts w:ascii="Garamond" w:cs="Garamond" w:eastAsia="Garamond" w:hAnsi="Garamond"/>
              </w:rPr>
            </w:pPr>
            <w:r w:rsidDel="00000000" w:rsidR="00000000" w:rsidRPr="00000000">
              <w:rPr>
                <w:rFonts w:ascii="Garamond" w:cs="Garamond" w:eastAsia="Garamond" w:hAnsi="Garamond"/>
                <w:rtl w:val="0"/>
              </w:rPr>
              <w:t xml:space="preserve">Cytoplasme mauve, situé en bordure</w:t>
            </w:r>
          </w:p>
        </w:tc>
      </w:tr>
      <w:tr>
        <w:trPr>
          <w:cantSplit w:val="0"/>
          <w:trHeight w:val="1287" w:hRule="atLeast"/>
          <w:tblHeader w:val="0"/>
        </w:trPr>
        <w:tc>
          <w:tcPr>
            <w:vAlign w:val="center"/>
          </w:tcPr>
          <w:p w:rsidR="00000000" w:rsidDel="00000000" w:rsidP="00000000" w:rsidRDefault="00000000" w:rsidRPr="00000000" w14:paraId="00000074">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Monocyte</w:t>
            </w:r>
          </w:p>
        </w:tc>
        <w:tc>
          <w:tcPr>
            <w:vAlign w:val="center"/>
          </w:tcPr>
          <w:p w:rsidR="00000000" w:rsidDel="00000000" w:rsidP="00000000" w:rsidRDefault="00000000" w:rsidRPr="00000000" w14:paraId="00000075">
            <w:pPr>
              <w:jc w:val="center"/>
              <w:rPr>
                <w:rFonts w:ascii="Garamond" w:cs="Garamond" w:eastAsia="Garamond" w:hAnsi="Garamond"/>
              </w:rPr>
            </w:pPr>
            <w:r w:rsidDel="00000000" w:rsidR="00000000" w:rsidRPr="00000000">
              <w:rPr/>
              <w:drawing>
                <wp:inline distB="0" distT="0" distL="0" distR="0">
                  <wp:extent cx="806411" cy="732929"/>
                  <wp:effectExtent b="0" l="0" r="0" t="0"/>
                  <wp:docPr id="18" name="image4.png"/>
                  <a:graphic>
                    <a:graphicData uri="http://schemas.openxmlformats.org/drawingml/2006/picture">
                      <pic:pic>
                        <pic:nvPicPr>
                          <pic:cNvPr id="0" name="image4.png"/>
                          <pic:cNvPicPr preferRelativeResize="0"/>
                        </pic:nvPicPr>
                        <pic:blipFill>
                          <a:blip r:embed="rId13"/>
                          <a:srcRect b="0" l="51330" r="0" t="0"/>
                          <a:stretch>
                            <a:fillRect/>
                          </a:stretch>
                        </pic:blipFill>
                        <pic:spPr>
                          <a:xfrm>
                            <a:off x="0" y="0"/>
                            <a:ext cx="806411" cy="73292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6">
            <w:pPr>
              <w:rPr>
                <w:rFonts w:ascii="Garamond" w:cs="Garamond" w:eastAsia="Garamond" w:hAnsi="Garamond"/>
              </w:rPr>
            </w:pPr>
            <w:r w:rsidDel="00000000" w:rsidR="00000000" w:rsidRPr="00000000">
              <w:rPr>
                <w:rFonts w:ascii="Garamond" w:cs="Garamond" w:eastAsia="Garamond" w:hAnsi="Garamond"/>
                <w:rtl w:val="0"/>
              </w:rPr>
              <w:t xml:space="preserve">Noyau en fer à cheval</w:t>
            </w:r>
          </w:p>
          <w:p w:rsidR="00000000" w:rsidDel="00000000" w:rsidP="00000000" w:rsidRDefault="00000000" w:rsidRPr="00000000" w14:paraId="00000077">
            <w:pPr>
              <w:rPr>
                <w:rFonts w:ascii="Garamond" w:cs="Garamond" w:eastAsia="Garamond" w:hAnsi="Garamond"/>
              </w:rPr>
            </w:pPr>
            <w:r w:rsidDel="00000000" w:rsidR="00000000" w:rsidRPr="00000000">
              <w:rPr>
                <w:rFonts w:ascii="Garamond" w:cs="Garamond" w:eastAsia="Garamond" w:hAnsi="Garamond"/>
                <w:rtl w:val="0"/>
              </w:rPr>
              <w:t xml:space="preserve">Cytoplasme gris bleu</w:t>
            </w:r>
          </w:p>
        </w:tc>
      </w:tr>
    </w:tbl>
    <w:p w:rsidR="00000000" w:rsidDel="00000000" w:rsidP="00000000" w:rsidRDefault="00000000" w:rsidRPr="00000000" w14:paraId="00000078">
      <w:pPr>
        <w:rPr>
          <w:rFonts w:ascii="Garamond" w:cs="Garamond" w:eastAsia="Garamond" w:hAnsi="Garamond"/>
          <w:sz w:val="24"/>
          <w:szCs w:val="24"/>
        </w:rPr>
      </w:pPr>
      <w:r w:rsidDel="00000000" w:rsidR="00000000" w:rsidRPr="00000000">
        <w:rPr>
          <w:rtl w:val="0"/>
        </w:rPr>
      </w:r>
    </w:p>
    <w:sectPr>
      <w:headerReference r:id="rId14" w:type="default"/>
      <w:footerReference r:id="rId15"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Biotechnologies – 2</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-485619</wp:posOffset>
          </wp:positionH>
          <wp:positionV relativeFrom="paragraph">
            <wp:posOffset>-354328</wp:posOffset>
          </wp:positionV>
          <wp:extent cx="1982461" cy="824110"/>
          <wp:effectExtent b="0" l="0" r="0" t="0"/>
          <wp:wrapNone/>
          <wp:docPr id="19"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1982461" cy="8241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Grilledutableau">
    <w:name w:val="Table Grid"/>
    <w:basedOn w:val="TableauNormal"/>
    <w:uiPriority w:val="39"/>
    <w:rsid w:val="003531A4"/>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tte">
    <w:name w:val="header"/>
    <w:basedOn w:val="Normal"/>
    <w:link w:val="En-tteCar"/>
    <w:uiPriority w:val="99"/>
    <w:unhideWhenUsed w:val="1"/>
    <w:rsid w:val="003531A4"/>
    <w:pPr>
      <w:tabs>
        <w:tab w:val="center" w:pos="4536"/>
        <w:tab w:val="right" w:pos="9072"/>
      </w:tabs>
      <w:spacing w:after="0" w:line="240" w:lineRule="auto"/>
    </w:pPr>
  </w:style>
  <w:style w:type="character" w:styleId="En-tteCar" w:customStyle="1">
    <w:name w:val="En-tête Car"/>
    <w:basedOn w:val="Policepardfaut"/>
    <w:link w:val="En-tte"/>
    <w:uiPriority w:val="99"/>
    <w:rsid w:val="003531A4"/>
  </w:style>
  <w:style w:type="paragraph" w:styleId="Pieddepage">
    <w:name w:val="footer"/>
    <w:basedOn w:val="Normal"/>
    <w:link w:val="PieddepageCar"/>
    <w:uiPriority w:val="99"/>
    <w:unhideWhenUsed w:val="1"/>
    <w:rsid w:val="003531A4"/>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3531A4"/>
  </w:style>
  <w:style w:type="paragraph" w:styleId="Paragraphedeliste">
    <w:name w:val="List Paragraph"/>
    <w:basedOn w:val="Normal"/>
    <w:uiPriority w:val="34"/>
    <w:qFormat w:val="1"/>
    <w:rsid w:val="003531A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1.png"/><Relationship Id="rId13" Type="http://schemas.openxmlformats.org/officeDocument/2006/relationships/image" Target="media/image4.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6QknQ5wLoLELjWCJUzJtOF1Gyg==">CgMxLjA4AHIhMUtXUy1La09VYWxCV2JEbUhHSE41dlRqcmRsdWUwcV9t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2022-08-09T20:35:00Z</dcterms:created>
  <dc:creator>Sylvain Pellissier</dc:creator>
</cp:coreProperties>
</file>